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0B" w:rsidRDefault="003D7D0B" w:rsidP="003D7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7D0B" w:rsidRDefault="003D7D0B" w:rsidP="003D7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Пригородного сельсовета </w:t>
      </w:r>
    </w:p>
    <w:p w:rsidR="003D7D0B" w:rsidRDefault="003D7D0B" w:rsidP="003D7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3D7D0B" w:rsidRDefault="003D7D0B" w:rsidP="003D7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D0B" w:rsidRDefault="003D7D0B" w:rsidP="003D7D0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3D7D0B" w:rsidRDefault="003D7D0B" w:rsidP="003D7D0B">
      <w:pPr>
        <w:spacing w:after="0"/>
        <w:jc w:val="center"/>
        <w:rPr>
          <w:rFonts w:ascii="Times New Roman" w:hAnsi="Times New Roman"/>
          <w:spacing w:val="10"/>
          <w:position w:val="10"/>
          <w:sz w:val="28"/>
          <w:szCs w:val="28"/>
        </w:rPr>
      </w:pPr>
    </w:p>
    <w:p w:rsidR="003D7D0B" w:rsidRDefault="003D7D0B" w:rsidP="003D7D0B">
      <w:pPr>
        <w:spacing w:after="0"/>
        <w:rPr>
          <w:rFonts w:ascii="Times New Roman" w:hAnsi="Times New Roman"/>
          <w:b/>
          <w:spacing w:val="10"/>
          <w:position w:val="10"/>
          <w:sz w:val="28"/>
          <w:szCs w:val="28"/>
        </w:rPr>
      </w:pPr>
      <w:r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09.02.2023 № 2                                                                 </w:t>
      </w:r>
      <w:r w:rsidR="009C30C4">
        <w:rPr>
          <w:rFonts w:ascii="Times New Roman" w:hAnsi="Times New Roman"/>
          <w:b/>
          <w:spacing w:val="10"/>
          <w:position w:val="10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pacing w:val="10"/>
          <w:position w:val="10"/>
          <w:sz w:val="28"/>
          <w:szCs w:val="28"/>
        </w:rPr>
        <w:t>п.Октябрьский</w:t>
      </w:r>
    </w:p>
    <w:p w:rsidR="003D7D0B" w:rsidRDefault="003D7D0B" w:rsidP="003D7D0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3D7D0B" w:rsidTr="003D7D0B">
        <w:trPr>
          <w:trHeight w:val="929"/>
        </w:trPr>
        <w:tc>
          <w:tcPr>
            <w:tcW w:w="6096" w:type="dxa"/>
            <w:hideMark/>
          </w:tcPr>
          <w:p w:rsidR="003D7D0B" w:rsidRDefault="003D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Администрации Пригородного сельсовета Каменского района Алтайского края от 07.06.2022 № 12 «Об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      </w:r>
            <w:r>
              <w:rPr>
                <w:rFonts w:ascii="Times New Roman" w:hAnsi="Times New Roman"/>
                <w:sz w:val="28"/>
                <w:szCs w:val="28"/>
              </w:rPr>
              <w:t>бюджета муниципального образования Пригородный сельсовет Каменского района Алтайского края»</w:t>
            </w:r>
          </w:p>
        </w:tc>
      </w:tr>
    </w:tbl>
    <w:p w:rsidR="003D7D0B" w:rsidRDefault="003D7D0B" w:rsidP="003D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D0B" w:rsidRDefault="003D7D0B" w:rsidP="003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Каменской межрайонной прокуратуры Алтайского края № 02-71-2023/11 от 30.01.2023</w:t>
      </w:r>
    </w:p>
    <w:p w:rsidR="003D7D0B" w:rsidRDefault="003D7D0B" w:rsidP="003D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D0B" w:rsidRDefault="003D7D0B" w:rsidP="003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7D0B" w:rsidRDefault="003D7D0B" w:rsidP="003D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D0B" w:rsidRDefault="003D7D0B" w:rsidP="003D7D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протест Каменской межрайонной прокуратуры № 02-71-2023/11 от 30.01.2023.</w:t>
      </w:r>
    </w:p>
    <w:p w:rsidR="003D7D0B" w:rsidRDefault="003D7D0B" w:rsidP="003D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Внести изменения и дополнения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Пригородного сельсовета Каменского района Алтайского края от 07.06.2022 № 12 «Об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Пригородный сельсовет Каменского района Алтайского края»</w:t>
      </w:r>
    </w:p>
    <w:p w:rsidR="003D7D0B" w:rsidRDefault="003D7D0B" w:rsidP="003D7D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пункты 2.1; 2.2 читать в следующей редакции:</w:t>
      </w:r>
    </w:p>
    <w:p w:rsidR="003D7D0B" w:rsidRDefault="003D7D0B" w:rsidP="003D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Постановка на учет бюджетного обязательства и внесение изменений в поставленное на учет бюджетное обязательство </w:t>
      </w:r>
      <w:r w:rsidRPr="00736C66">
        <w:rPr>
          <w:rFonts w:ascii="Times New Roman" w:hAnsi="Times New Roman" w:cs="Times New Roman"/>
          <w:sz w:val="28"/>
          <w:szCs w:val="28"/>
        </w:rPr>
        <w:t>(аннулирования неисполненной части бюджетного обязательства)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со Сведениями о бюджетном обязательстве, сформированными на основании документов, предусмотренных</w:t>
      </w:r>
      <w:hyperlink r:id="rId5" w:anchor="P402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графой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 поселения установленного Приложением 3 к настоящему Порядку (далее соответственно - документы-основания, Перечень документов-оснований).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Сведения о бюджетных обязательствах, возникших на основании документов-оснований, предусмотренных </w:t>
      </w:r>
      <w:hyperlink r:id="rId6" w:anchor="P48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2.1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7" w:anchor="P406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418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444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449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 графы 1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получателями средств бюджета поселения не позднее рабочего дня, со дня заключения соответственно муниципального контракта, договора, договора (соглашения) о предоставлении субсидии муниципальному бюджетному учреждению, договора (соглашения) о предоставлении субсидии или бюджетных инвестиций юридическому лицу, указанных в названных пунктах </w:t>
      </w:r>
      <w:hyperlink r:id="rId11" w:anchor="P402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графы 1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документов-оснований;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2" w:anchor="P434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7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516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 графы 1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получателями средств бюджета поселения не позднее одного рабочего дня,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</w:t>
      </w:r>
      <w:hyperlink r:id="rId14" w:anchor="P402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графы 1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документов-оснований;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</w:t>
      </w:r>
      <w:bookmarkStart w:id="0" w:name="_GoBack"/>
      <w:bookmarkEnd w:id="0"/>
      <w:r w:rsidRPr="00736C66">
        <w:rPr>
          <w:rFonts w:ascii="Times New Roman" w:hAnsi="Times New Roman" w:cs="Times New Roman"/>
          <w:sz w:val="28"/>
          <w:szCs w:val="28"/>
        </w:rPr>
        <w:t xml:space="preserve">сновании документов-оснований, предусмотренных </w:t>
      </w:r>
      <w:hyperlink r:id="rId15" w:anchor="P430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438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P474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anchor="P501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P509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18 графы 1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ТОУФК одновременно с санкционированием оплаты денежных обязательств получателей средств бюджета поселения в соответствии с Порядком санкционирования оплаты денежных обязательств получателей средств бюджет поселения и администраторов источников финансирования дефицита бюджета поселения.</w:t>
      </w:r>
    </w:p>
    <w:p w:rsidR="003D7D0B" w:rsidRPr="00736C66" w:rsidRDefault="003D7D0B" w:rsidP="003D7D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66">
        <w:rPr>
          <w:rFonts w:ascii="Times New Roman" w:eastAsia="Times New Roman" w:hAnsi="Times New Roman"/>
          <w:sz w:val="28"/>
          <w:szCs w:val="28"/>
          <w:lang w:eastAsia="ru-RU"/>
        </w:rPr>
        <w:t>- пункты 4.1; 4.4; 4.5  в нести следующие корректировки:</w:t>
      </w:r>
    </w:p>
    <w:p w:rsidR="003D7D0B" w:rsidRPr="00736C66" w:rsidRDefault="003D7D0B" w:rsidP="003D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 xml:space="preserve">4.1. Постановка на учет денежного обязательства (аннулирования неисполненной части бюджетного обязательства) и внесение изменений в поставленное на учет денежное обязательство (аннулирования неисполненной части бюджетного обязательства) осуществляется в соответствии со Сведениями о денежном обязательстве, сформированными на основании документов, предусмотренных </w:t>
      </w:r>
      <w:hyperlink r:id="rId20" w:anchor="P403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графой 2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документов-оснований.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>4.4. ТОУФК в день постановки на учет со дня представления получателем средств бюджета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3D7D0B" w:rsidRPr="00736C66" w:rsidRDefault="003D7D0B" w:rsidP="003D7D0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1" w:anchor="P309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приложением 2</w:t>
        </w:r>
      </w:hyperlink>
      <w:r w:rsidRPr="00736C6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lastRenderedPageBreak/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поселения в ТОУФК для постановки на учет денежных обязательств в соответствии с настоящим Порядком.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 xml:space="preserve">4.5. В случае положительного результата проверки Сведений о денежном обязательстве ТОУФК присваивает учетный номер денежному обязательству (вносит в него изменения) в день осуществления проверки, направляет получателю средств бюджета поселения извещение о постановке на учет (изменении) денежного обязательства в ТОУФК, </w:t>
      </w:r>
      <w:hyperlink r:id="rId22" w:history="1">
        <w:r w:rsidRPr="00736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реквизиты</w:t>
        </w:r>
      </w:hyperlink>
      <w:r w:rsidRPr="00736C66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736C66"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13 к Порядку Минфина России (далее - Извещение о денежном обязательстве) и далее по тексту.</w:t>
      </w:r>
    </w:p>
    <w:p w:rsidR="003D7D0B" w:rsidRPr="00736C66" w:rsidRDefault="003D7D0B" w:rsidP="003D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66">
        <w:rPr>
          <w:rFonts w:ascii="Times New Roman" w:hAnsi="Times New Roman" w:cs="Times New Roman"/>
          <w:sz w:val="28"/>
          <w:szCs w:val="28"/>
        </w:rPr>
        <w:t>-в п. 7 и п. 10 приложении 3 в корректировки следующего содержания: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2"/>
        <w:gridCol w:w="5389"/>
      </w:tblGrid>
      <w:tr w:rsidR="00736C66" w:rsidRPr="00736C66" w:rsidTr="00736C66"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7.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(правовой акт наиболее значимого учреждения науки, образования, культуры и здравоохранения, указанного в ведомственной структуре расходов бюджета) (далее-нормативно правовой акт о предоставлении субсидии юридическому лицу), сведения о котором подлежат либо не подлежат включено в реестр соглашений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36C66" w:rsidRPr="00736C66" w:rsidTr="00736C66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B" w:rsidRPr="00736C66" w:rsidRDefault="003D7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736C66" w:rsidRPr="00736C66" w:rsidTr="00736C66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B" w:rsidRPr="00736C66" w:rsidRDefault="003D7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736C66" w:rsidRPr="00736C66" w:rsidTr="00736C66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B" w:rsidRPr="00736C66" w:rsidRDefault="003D7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3" w:history="1">
              <w:r w:rsidRPr="00736C66">
                <w:rPr>
                  <w:rStyle w:val="a3"/>
                  <w:color w:val="auto"/>
                  <w:sz w:val="24"/>
                  <w:szCs w:val="24"/>
                </w:rPr>
                <w:t>ОКУД</w:t>
              </w:r>
            </w:hyperlink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736C66" w:rsidRPr="00736C66" w:rsidTr="00736C66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B" w:rsidRPr="00736C66" w:rsidRDefault="003D7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736C66" w:rsidRPr="00736C66" w:rsidTr="00736C66"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10. Договор, расчет по которому в соответствии с законодательством Российской Федерации осуществляется наличными деньгами, если получателем 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поселения в ТОУФК не направлены информация и документы по указанному договору для их включения в реестр контрактов, (правовой акт наиболее значимого учреждения науки, образования, культуры и здравоохранения, указанного в ведомственной структуре расходов бюджета) (далее-нормативно правовой акт о предоставлении субсидии юридическому лицу), сведения окотором подлежат либо не подлежат включено в реестр соглашений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736C66" w:rsidRPr="00736C66" w:rsidTr="00736C66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B" w:rsidRPr="00736C66" w:rsidRDefault="003D7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736C66" w:rsidRPr="00736C66" w:rsidTr="00736C66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B" w:rsidRPr="00736C66" w:rsidRDefault="003D7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736C66" w:rsidRPr="00736C66" w:rsidTr="00736C66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B" w:rsidRPr="00736C66" w:rsidRDefault="003D7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B" w:rsidRPr="00736C66" w:rsidRDefault="003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</w:tbl>
    <w:p w:rsidR="003D7D0B" w:rsidRPr="00736C66" w:rsidRDefault="003D7D0B" w:rsidP="003D7D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66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со ст. 47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D7D0B" w:rsidRPr="00736C66" w:rsidRDefault="003D7D0B" w:rsidP="003D7D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C66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D7D0B" w:rsidRPr="00736C66" w:rsidRDefault="003D7D0B" w:rsidP="003D7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D0B" w:rsidRPr="00736C66" w:rsidRDefault="003D7D0B" w:rsidP="003D7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D0B" w:rsidRPr="00736C66" w:rsidRDefault="003D7D0B" w:rsidP="003D7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D0B" w:rsidRPr="00736C66" w:rsidRDefault="003D7D0B" w:rsidP="003D7D0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36C6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</w:t>
      </w:r>
      <w:r w:rsidR="009C30C4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736C66">
        <w:rPr>
          <w:rFonts w:ascii="Times New Roman" w:hAnsi="Times New Roman"/>
          <w:sz w:val="28"/>
          <w:szCs w:val="28"/>
        </w:rPr>
        <w:t>Е.Н. Кайзер</w:t>
      </w: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  <w:bookmarkStart w:id="1" w:name="P31"/>
      <w:bookmarkEnd w:id="1"/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Pr="00736C66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D7D0B" w:rsidRDefault="003D7D0B" w:rsidP="003D7D0B"/>
    <w:p w:rsidR="00AD1093" w:rsidRDefault="00AD1093"/>
    <w:sectPr w:rsidR="00AD1093" w:rsidSect="009C3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6AC0"/>
    <w:multiLevelType w:val="hybridMultilevel"/>
    <w:tmpl w:val="EC8E9776"/>
    <w:lvl w:ilvl="0" w:tplc="6C50D4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52E05"/>
    <w:multiLevelType w:val="hybridMultilevel"/>
    <w:tmpl w:val="959E5E1E"/>
    <w:lvl w:ilvl="0" w:tplc="3356E1F8">
      <w:start w:val="3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D0B"/>
    <w:rsid w:val="001B38F0"/>
    <w:rsid w:val="00320F5F"/>
    <w:rsid w:val="003D7D0B"/>
    <w:rsid w:val="00471DCB"/>
    <w:rsid w:val="0052744E"/>
    <w:rsid w:val="00701741"/>
    <w:rsid w:val="00736C66"/>
    <w:rsid w:val="009C30C4"/>
    <w:rsid w:val="00AD1093"/>
    <w:rsid w:val="00E44AC2"/>
    <w:rsid w:val="00F1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7D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D0B"/>
    <w:pPr>
      <w:ind w:left="720"/>
      <w:contextualSpacing/>
    </w:pPr>
  </w:style>
  <w:style w:type="paragraph" w:customStyle="1" w:styleId="ConsPlusNormal">
    <w:name w:val="ConsPlusNormal"/>
    <w:rsid w:val="003D7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D7D0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3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7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2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7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5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3" Type="http://schemas.openxmlformats.org/officeDocument/2006/relationships/hyperlink" Target="consultantplus://offline/ref=5BBD3B94EF35F4E0D61CB9AB52A840E7189E462E7438A97EC7A3A249A770F0256C7FF027CBDB2A76450FC3CC91WF4CC" TargetMode="External"/><Relationship Id="rId1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4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2" Type="http://schemas.openxmlformats.org/officeDocument/2006/relationships/hyperlink" Target="consultantplus://offline/ref=5BBD3B94EF35F4E0D61CB9AB52A840E71890402C7535A97EC7A3A249A770F0257E7FA82BCAD23475461A959DD7A83BE6946AAA52BF75CC87W54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5</cp:revision>
  <dcterms:created xsi:type="dcterms:W3CDTF">2023-02-08T09:18:00Z</dcterms:created>
  <dcterms:modified xsi:type="dcterms:W3CDTF">2023-12-20T13:58:00Z</dcterms:modified>
</cp:coreProperties>
</file>