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3B" w:rsidRDefault="009D413B" w:rsidP="009D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413B" w:rsidRDefault="009D413B" w:rsidP="009D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Пригородного сельсовета </w:t>
      </w:r>
    </w:p>
    <w:p w:rsidR="009D413B" w:rsidRDefault="009D413B" w:rsidP="009D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D413B" w:rsidRDefault="009D413B" w:rsidP="009D413B">
      <w:pPr>
        <w:jc w:val="center"/>
        <w:rPr>
          <w:b/>
          <w:sz w:val="28"/>
          <w:szCs w:val="28"/>
        </w:rPr>
      </w:pPr>
    </w:p>
    <w:p w:rsidR="009D413B" w:rsidRDefault="009D413B" w:rsidP="009D413B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D413B" w:rsidRDefault="009D413B" w:rsidP="009D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13B" w:rsidRDefault="009D413B" w:rsidP="009D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28.12.2020     №   25                                                                          п. Октябрьский</w:t>
      </w:r>
    </w:p>
    <w:p w:rsidR="009D413B" w:rsidRDefault="009D413B" w:rsidP="009D413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37"/>
      </w:tblGrid>
      <w:tr w:rsidR="009D413B" w:rsidTr="009D413B">
        <w:trPr>
          <w:trHeight w:val="107"/>
        </w:trPr>
        <w:tc>
          <w:tcPr>
            <w:tcW w:w="4337" w:type="dxa"/>
            <w:hideMark/>
          </w:tcPr>
          <w:p w:rsidR="009D413B" w:rsidRDefault="009D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среднесрочном финансовом плане на 2021-2023 годы</w:t>
            </w:r>
          </w:p>
        </w:tc>
      </w:tr>
    </w:tbl>
    <w:p w:rsidR="009D413B" w:rsidRDefault="009D413B" w:rsidP="009D413B">
      <w:pPr>
        <w:rPr>
          <w:sz w:val="28"/>
          <w:szCs w:val="28"/>
        </w:rPr>
      </w:pP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Администрации Пригородного сельсовета Каменского района Алтайского края от 21.03.2011 № 6 «О положении, о порядке разработки, утверждения и мониторинга исполнения среднесрочного финансового плана и составлении проекта сельского бюджета на очередной финансовый год»</w:t>
      </w:r>
    </w:p>
    <w:p w:rsidR="009D413B" w:rsidRDefault="009D413B" w:rsidP="009D413B">
      <w:pPr>
        <w:jc w:val="both"/>
        <w:rPr>
          <w:sz w:val="28"/>
          <w:szCs w:val="28"/>
        </w:rPr>
      </w:pP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основные характеристики среднесрочного финансового плана бюджета Пригородного сельсовета на 2021-2023 годы: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объем поступлений доходов бюджета Пригородного сельсовета согласно приложению 1;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объем расходов бюджета Пригородного сельсовета по ведомственной структуре расходов согласно приложению 2.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Утвердить основные характеристики бюджета Пригородного сельсовета согласно приложению 3.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пояснительную записку среднесрочного финансового плана</w:t>
      </w: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2021-2023 годы согласно приложению 4.</w:t>
      </w:r>
    </w:p>
    <w:p w:rsidR="009D413B" w:rsidRDefault="009D413B" w:rsidP="009D413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3.Прогнозируемый дефицит бюджета Пригородного сельсовета в 2021 году 134,8 тыс. руб., в 2022 году дефицит – 141,3 тыс. руб., в 2023 году дефицит – 144,7 тыс. руб.  </w:t>
      </w:r>
    </w:p>
    <w:p w:rsidR="009D413B" w:rsidRDefault="009D413B" w:rsidP="009D4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в соответствии со ст. 46 Устава муниципального образования Пригородного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9D413B" w:rsidRDefault="009D413B" w:rsidP="009D413B">
      <w:pPr>
        <w:jc w:val="both"/>
        <w:rPr>
          <w:sz w:val="28"/>
          <w:szCs w:val="28"/>
        </w:rPr>
      </w:pPr>
    </w:p>
    <w:p w:rsidR="009D413B" w:rsidRDefault="009D413B" w:rsidP="009D413B">
      <w:pPr>
        <w:jc w:val="both"/>
        <w:rPr>
          <w:sz w:val="28"/>
          <w:szCs w:val="28"/>
        </w:rPr>
      </w:pPr>
    </w:p>
    <w:p w:rsidR="009D413B" w:rsidRDefault="009D413B" w:rsidP="009D4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494"/>
        <w:gridCol w:w="1078"/>
        <w:gridCol w:w="1030"/>
        <w:gridCol w:w="1096"/>
      </w:tblGrid>
      <w:tr w:rsidR="009D413B" w:rsidTr="009D413B">
        <w:trPr>
          <w:trHeight w:val="1658"/>
        </w:trPr>
        <w:tc>
          <w:tcPr>
            <w:tcW w:w="9698" w:type="dxa"/>
            <w:gridSpan w:val="4"/>
          </w:tcPr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28.12.2020 № 20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Пригородного сельсовета в 2021-2023 году 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1348,0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1413,0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1447,0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962,0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971,0</w:t>
            </w:r>
          </w:p>
        </w:tc>
      </w:tr>
      <w:tr w:rsidR="009D413B" w:rsidTr="009D413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413B" w:rsidTr="009D413B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413B" w:rsidTr="009D413B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413B" w:rsidTr="009D413B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9D413B" w:rsidTr="009D413B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1516,5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1550,5</w:t>
            </w:r>
          </w:p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D413B" w:rsidRDefault="009D413B" w:rsidP="009D413B">
      <w:pPr>
        <w:rPr>
          <w:vanish/>
        </w:rPr>
      </w:pPr>
    </w:p>
    <w:tbl>
      <w:tblPr>
        <w:tblpPr w:leftFromText="180" w:rightFromText="180" w:vertAnchor="text" w:horzAnchor="margin" w:tblpY="-7523"/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16"/>
        <w:gridCol w:w="567"/>
        <w:gridCol w:w="425"/>
        <w:gridCol w:w="567"/>
        <w:gridCol w:w="1559"/>
        <w:gridCol w:w="567"/>
        <w:gridCol w:w="851"/>
        <w:gridCol w:w="709"/>
        <w:gridCol w:w="708"/>
      </w:tblGrid>
      <w:tr w:rsidR="009D413B" w:rsidTr="009D413B">
        <w:trPr>
          <w:trHeight w:val="871"/>
        </w:trPr>
        <w:tc>
          <w:tcPr>
            <w:tcW w:w="9669" w:type="dxa"/>
            <w:gridSpan w:val="9"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00.00.2020 № 0</w:t>
            </w:r>
          </w:p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в 2021 году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9D413B" w:rsidTr="009D413B">
        <w:trPr>
          <w:trHeight w:val="32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2023г.</w:t>
            </w:r>
          </w:p>
        </w:tc>
      </w:tr>
      <w:tr w:rsidR="009D413B" w:rsidTr="009D413B">
        <w:trPr>
          <w:trHeight w:val="32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1695,2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1287,4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353,1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353,1</w:t>
            </w:r>
          </w:p>
        </w:tc>
      </w:tr>
      <w:tr w:rsidR="009D413B" w:rsidTr="009D413B">
        <w:trPr>
          <w:trHeight w:val="4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4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D413B" w:rsidTr="009D413B">
        <w:trPr>
          <w:trHeight w:val="3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D413B" w:rsidTr="009D413B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D413B" w:rsidTr="009D413B">
        <w:trPr>
          <w:trHeight w:val="6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4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302,9</w:t>
            </w:r>
          </w:p>
        </w:tc>
      </w:tr>
      <w:tr w:rsidR="009D413B" w:rsidTr="009D413B">
        <w:trPr>
          <w:trHeight w:val="3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</w:tr>
      <w:tr w:rsidR="009D413B" w:rsidTr="009D413B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</w:tr>
      <w:tr w:rsidR="009D413B" w:rsidTr="009D413B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300,9</w:t>
            </w:r>
          </w:p>
        </w:tc>
      </w:tr>
      <w:tr w:rsidR="009D413B" w:rsidTr="009D413B">
        <w:trPr>
          <w:trHeight w:val="3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236,8</w:t>
            </w:r>
          </w:p>
        </w:tc>
      </w:tr>
      <w:tr w:rsidR="009D413B" w:rsidTr="009D413B">
        <w:trPr>
          <w:trHeight w:val="4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62,1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630,9</w:t>
            </w:r>
          </w:p>
        </w:tc>
      </w:tr>
      <w:tr w:rsidR="009D413B" w:rsidTr="009D413B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9D413B" w:rsidTr="009D413B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9D413B" w:rsidTr="009D413B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 xml:space="preserve">Централизованные бухгалтерии, </w:t>
            </w:r>
            <w:r>
              <w:lastRenderedPageBreak/>
              <w:t>группы хозяйственного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413B" w:rsidTr="009D413B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Муниципальные дорожные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jc w:val="center"/>
            </w:pPr>
            <w:r>
              <w:t>102,0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</w:tr>
      <w:tr w:rsidR="009D413B" w:rsidTr="009D413B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</w:tr>
      <w:tr w:rsidR="009D413B" w:rsidTr="009D413B">
        <w:trPr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</w:tr>
      <w:tr w:rsidR="009D413B" w:rsidTr="009D413B">
        <w:trPr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</w:tr>
      <w:tr w:rsidR="009D413B" w:rsidTr="009D413B">
        <w:trPr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B" w:rsidRDefault="009D413B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</w:tr>
      <w:tr w:rsidR="009D413B" w:rsidTr="009D413B">
        <w:trPr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13B" w:rsidRDefault="009D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</w:tc>
      </w:tr>
    </w:tbl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</w:p>
    <w:p w:rsidR="009D413B" w:rsidRDefault="009D413B" w:rsidP="009D413B">
      <w:pPr>
        <w:rPr>
          <w:sz w:val="28"/>
          <w:szCs w:val="28"/>
        </w:rPr>
      </w:pPr>
    </w:p>
    <w:p w:rsidR="009D413B" w:rsidRDefault="009D413B" w:rsidP="009D413B">
      <w:pPr>
        <w:rPr>
          <w:sz w:val="28"/>
          <w:szCs w:val="28"/>
        </w:rPr>
      </w:pPr>
    </w:p>
    <w:p w:rsidR="009D413B" w:rsidRDefault="009D413B" w:rsidP="009D41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9D413B" w:rsidRDefault="009D413B" w:rsidP="009D4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                                                                                                    </w:t>
      </w:r>
    </w:p>
    <w:p w:rsidR="009D413B" w:rsidRDefault="009D413B" w:rsidP="009D41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D413B" w:rsidRDefault="009D413B" w:rsidP="009D4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28.12.2020 № 20</w:t>
      </w:r>
    </w:p>
    <w:p w:rsidR="009D413B" w:rsidRDefault="009D413B" w:rsidP="009D413B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30"/>
        <w:gridCol w:w="1452"/>
        <w:gridCol w:w="1325"/>
        <w:gridCol w:w="1763"/>
      </w:tblGrid>
      <w:tr w:rsidR="009D413B" w:rsidTr="009D413B">
        <w:trPr>
          <w:trHeight w:val="641"/>
        </w:trPr>
        <w:tc>
          <w:tcPr>
            <w:tcW w:w="9570" w:type="dxa"/>
            <w:gridSpan w:val="4"/>
            <w:hideMark/>
          </w:tcPr>
          <w:p w:rsidR="009D413B" w:rsidRDefault="009D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характеристики бюджета Пригородного сельсовета  </w:t>
            </w:r>
          </w:p>
          <w:p w:rsidR="009D413B" w:rsidRDefault="009D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2021-2023 годы</w:t>
            </w:r>
          </w:p>
          <w:p w:rsidR="009D413B" w:rsidRDefault="009D413B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D413B" w:rsidTr="009D413B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9D413B" w:rsidRDefault="009D413B">
            <w:r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9D413B" w:rsidRDefault="009D413B">
            <w:pPr>
              <w:jc w:val="center"/>
            </w:pPr>
            <w:r>
              <w:t>2021год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9D413B" w:rsidRDefault="009D413B">
            <w:pPr>
              <w:jc w:val="center"/>
            </w:pPr>
            <w:r>
              <w:t>2022год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9D413B" w:rsidRDefault="009D413B">
            <w:pPr>
              <w:jc w:val="center"/>
            </w:pPr>
            <w:r>
              <w:t>2023год</w:t>
            </w:r>
          </w:p>
        </w:tc>
      </w:tr>
      <w:tr w:rsidR="009D413B" w:rsidTr="009D413B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13B" w:rsidRDefault="009D413B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13B" w:rsidRDefault="009D413B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13B" w:rsidRDefault="009D413B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13B" w:rsidRDefault="009D413B">
            <w:pPr>
              <w:jc w:val="center"/>
            </w:pPr>
          </w:p>
        </w:tc>
      </w:tr>
      <w:tr w:rsidR="009D413B" w:rsidTr="009D413B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r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1451,5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1516,5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1550,5</w:t>
            </w:r>
          </w:p>
        </w:tc>
      </w:tr>
      <w:tr w:rsidR="009D413B" w:rsidTr="009D413B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r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D413B" w:rsidTr="009D413B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1451,5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1516,5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1550,5</w:t>
            </w:r>
          </w:p>
        </w:tc>
      </w:tr>
      <w:tr w:rsidR="009D413B" w:rsidTr="009D413B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1586,3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1657,8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D413B" w:rsidRDefault="009D41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1695,2</w:t>
            </w:r>
          </w:p>
        </w:tc>
      </w:tr>
      <w:tr w:rsidR="009D413B" w:rsidTr="009D413B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 xml:space="preserve">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-134,8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-141,3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-144,7</w:t>
            </w:r>
          </w:p>
        </w:tc>
      </w:tr>
    </w:tbl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p w:rsidR="009D413B" w:rsidRDefault="009D413B" w:rsidP="009D413B"/>
    <w:tbl>
      <w:tblPr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9D413B" w:rsidTr="009D413B">
        <w:trPr>
          <w:trHeight w:val="1207"/>
        </w:trPr>
        <w:tc>
          <w:tcPr>
            <w:tcW w:w="9570" w:type="dxa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Приложение 4                                                                                                             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Пригородного сельсовета </w:t>
            </w:r>
          </w:p>
          <w:p w:rsidR="009D413B" w:rsidRDefault="009D4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28.12.2020 № 20</w:t>
            </w:r>
          </w:p>
        </w:tc>
      </w:tr>
      <w:tr w:rsidR="009D413B" w:rsidTr="009D413B">
        <w:trPr>
          <w:trHeight w:val="362"/>
        </w:trPr>
        <w:tc>
          <w:tcPr>
            <w:tcW w:w="9570" w:type="dxa"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9D413B" w:rsidTr="009D413B">
        <w:trPr>
          <w:trHeight w:val="362"/>
        </w:trPr>
        <w:tc>
          <w:tcPr>
            <w:tcW w:w="9570" w:type="dxa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 2021-2023 гг.</w:t>
            </w:r>
          </w:p>
        </w:tc>
      </w:tr>
      <w:tr w:rsidR="009D413B" w:rsidTr="009D413B">
        <w:trPr>
          <w:trHeight w:val="305"/>
        </w:trPr>
        <w:tc>
          <w:tcPr>
            <w:tcW w:w="9570" w:type="dxa"/>
          </w:tcPr>
          <w:p w:rsidR="009D413B" w:rsidRDefault="009D4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13B" w:rsidTr="009D413B">
        <w:trPr>
          <w:trHeight w:val="1348"/>
        </w:trPr>
        <w:tc>
          <w:tcPr>
            <w:tcW w:w="9570" w:type="dxa"/>
            <w:hideMark/>
          </w:tcPr>
          <w:p w:rsidR="009D413B" w:rsidRDefault="009D41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Среднесрочный финансовый план на 2021-2023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Пригородного сельсовета.</w:t>
            </w:r>
          </w:p>
          <w:p w:rsidR="009D413B" w:rsidRDefault="009D41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бюджета в 2021 году составляет 100 процентов, в 2022 году 100 процентов, в 2023 году 100 процентов.</w:t>
            </w:r>
          </w:p>
          <w:p w:rsidR="009D413B" w:rsidRDefault="009D41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подходы к расчету бюджетных проектировок:</w:t>
            </w:r>
          </w:p>
          <w:p w:rsidR="009D413B" w:rsidRDefault="009D41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объемы бюджетных ассигнований на оплату труда работников бюджетных учреждений прогнозируются без учета повышения уровня оплаты труда на 2021, 2022 и 2023 г.г., исходя из минимального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сумме 14710,80 рублей;</w:t>
            </w:r>
          </w:p>
          <w:p w:rsidR="009D413B" w:rsidRDefault="009D413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на жилищно-коммунальные услуги на 2021-2023 годы рассчитаны по уровню 2020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D413B" w:rsidRDefault="009D41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прочие расходы на содержание муниципальных органов прогнозируется исходя из реалистичного прогноза доходов.  </w:t>
            </w:r>
          </w:p>
        </w:tc>
      </w:tr>
    </w:tbl>
    <w:p w:rsidR="009D413B" w:rsidRDefault="009D413B" w:rsidP="009D413B">
      <w:pPr>
        <w:ind w:left="5580"/>
        <w:rPr>
          <w:caps/>
        </w:rPr>
      </w:pPr>
    </w:p>
    <w:p w:rsidR="009D413B" w:rsidRDefault="009D413B" w:rsidP="009D413B">
      <w:pPr>
        <w:ind w:left="5580"/>
        <w:rPr>
          <w:caps/>
        </w:rPr>
      </w:pPr>
    </w:p>
    <w:p w:rsidR="009D413B" w:rsidRDefault="009D413B" w:rsidP="009D413B">
      <w:pPr>
        <w:ind w:left="5580"/>
        <w:rPr>
          <w:caps/>
        </w:rPr>
      </w:pPr>
    </w:p>
    <w:p w:rsidR="00D3034A" w:rsidRDefault="00D3034A"/>
    <w:sectPr w:rsidR="00D3034A" w:rsidSect="009D4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4A"/>
    <w:rsid w:val="009D413B"/>
    <w:rsid w:val="00D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13B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D413B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9D413B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semiHidden/>
    <w:rsid w:val="009D413B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9D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D413B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9D41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semiHidden/>
    <w:unhideWhenUsed/>
    <w:rsid w:val="009D413B"/>
    <w:pPr>
      <w:spacing w:after="120" w:line="480" w:lineRule="auto"/>
    </w:pPr>
    <w:rPr>
      <w:lang w:val="en-US" w:eastAsia="en-US"/>
    </w:rPr>
  </w:style>
  <w:style w:type="character" w:customStyle="1" w:styleId="a5">
    <w:name w:val="Текст выноски Знак"/>
    <w:basedOn w:val="a0"/>
    <w:link w:val="a6"/>
    <w:semiHidden/>
    <w:rsid w:val="009D41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9D413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D413B"/>
    <w:pPr>
      <w:suppressAutoHyphens/>
      <w:spacing w:after="120" w:line="480" w:lineRule="auto"/>
    </w:pPr>
    <w:rPr>
      <w:lang w:val="en-US" w:eastAsia="ar-SA"/>
    </w:rPr>
  </w:style>
  <w:style w:type="character" w:customStyle="1" w:styleId="1">
    <w:name w:val="Знак Знак1"/>
    <w:locked/>
    <w:rsid w:val="009D413B"/>
    <w:rPr>
      <w:b/>
      <w:bCs/>
      <w:sz w:val="24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2020-12-28T07:55:00Z</cp:lastPrinted>
  <dcterms:created xsi:type="dcterms:W3CDTF">2020-12-28T07:51:00Z</dcterms:created>
  <dcterms:modified xsi:type="dcterms:W3CDTF">2020-12-28T08:03:00Z</dcterms:modified>
</cp:coreProperties>
</file>