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4F" w:rsidRDefault="006F7F4F" w:rsidP="006F7F4F">
      <w:pPr>
        <w:pStyle w:val="1"/>
        <w:rPr>
          <w:b/>
          <w:szCs w:val="28"/>
        </w:rPr>
      </w:pPr>
      <w:r>
        <w:rPr>
          <w:b/>
          <w:szCs w:val="28"/>
        </w:rPr>
        <w:t>проект</w:t>
      </w:r>
    </w:p>
    <w:p w:rsidR="0074237C" w:rsidRDefault="0074237C" w:rsidP="0074237C">
      <w:pPr>
        <w:pStyle w:val="1"/>
        <w:jc w:val="center"/>
        <w:rPr>
          <w:b/>
          <w:szCs w:val="28"/>
        </w:rPr>
      </w:pPr>
      <w:r>
        <w:rPr>
          <w:b/>
          <w:szCs w:val="28"/>
        </w:rPr>
        <w:t>РОССИЙСКАЯ ФЕДЕРАЦИЯ</w:t>
      </w:r>
    </w:p>
    <w:p w:rsidR="0074237C" w:rsidRDefault="00AB34ED" w:rsidP="0074237C">
      <w:pPr>
        <w:pStyle w:val="1"/>
        <w:jc w:val="center"/>
        <w:rPr>
          <w:b/>
          <w:szCs w:val="28"/>
        </w:rPr>
      </w:pPr>
      <w:r>
        <w:rPr>
          <w:b/>
          <w:szCs w:val="28"/>
        </w:rPr>
        <w:t>Филипповский</w:t>
      </w:r>
      <w:r w:rsidR="0074237C">
        <w:rPr>
          <w:b/>
          <w:szCs w:val="28"/>
        </w:rPr>
        <w:t xml:space="preserve">  сельский Совет депутатов</w:t>
      </w:r>
    </w:p>
    <w:p w:rsidR="0074237C" w:rsidRDefault="0074237C" w:rsidP="0074237C">
      <w:pPr>
        <w:pStyle w:val="1"/>
        <w:jc w:val="center"/>
        <w:rPr>
          <w:b/>
          <w:bCs/>
          <w:szCs w:val="28"/>
        </w:rPr>
      </w:pPr>
      <w:r>
        <w:rPr>
          <w:b/>
          <w:szCs w:val="28"/>
        </w:rPr>
        <w:t>Каменского района Алтайского края</w:t>
      </w:r>
    </w:p>
    <w:p w:rsidR="0074237C" w:rsidRDefault="0074237C" w:rsidP="0074237C">
      <w:pPr>
        <w:jc w:val="center"/>
        <w:rPr>
          <w:b/>
          <w:sz w:val="28"/>
          <w:szCs w:val="28"/>
        </w:rPr>
      </w:pPr>
    </w:p>
    <w:p w:rsidR="0074237C" w:rsidRPr="0074237C" w:rsidRDefault="0074237C" w:rsidP="0074237C">
      <w:pPr>
        <w:pStyle w:val="2"/>
        <w:jc w:val="center"/>
        <w:rPr>
          <w:b/>
          <w:szCs w:val="28"/>
        </w:rPr>
      </w:pPr>
      <w:r w:rsidRPr="0074237C">
        <w:rPr>
          <w:b/>
          <w:sz w:val="44"/>
          <w:szCs w:val="44"/>
        </w:rPr>
        <w:t>Р Е Ш Е Н И Е</w:t>
      </w:r>
    </w:p>
    <w:p w:rsidR="0074237C" w:rsidRDefault="0074237C" w:rsidP="0074237C">
      <w:pPr>
        <w:jc w:val="center"/>
        <w:rPr>
          <w:sz w:val="24"/>
          <w:szCs w:val="24"/>
        </w:rPr>
      </w:pPr>
    </w:p>
    <w:p w:rsidR="0074237C" w:rsidRDefault="006F7F4F" w:rsidP="00B40A80">
      <w:pPr>
        <w:tabs>
          <w:tab w:val="left" w:pos="4480"/>
        </w:tabs>
        <w:rPr>
          <w:b/>
          <w:sz w:val="28"/>
          <w:szCs w:val="28"/>
        </w:rPr>
      </w:pPr>
      <w:r>
        <w:rPr>
          <w:b/>
          <w:sz w:val="28"/>
          <w:szCs w:val="28"/>
        </w:rPr>
        <w:t>00.03.2022   № 0</w:t>
      </w:r>
      <w:r w:rsidR="0074237C">
        <w:rPr>
          <w:b/>
          <w:sz w:val="28"/>
          <w:szCs w:val="28"/>
        </w:rPr>
        <w:t xml:space="preserve">                                                   </w:t>
      </w:r>
      <w:r w:rsidR="00967EF2">
        <w:rPr>
          <w:b/>
          <w:sz w:val="28"/>
          <w:szCs w:val="28"/>
        </w:rPr>
        <w:t xml:space="preserve">       </w:t>
      </w:r>
      <w:r w:rsidR="0074237C">
        <w:rPr>
          <w:b/>
          <w:sz w:val="28"/>
          <w:szCs w:val="28"/>
        </w:rPr>
        <w:t xml:space="preserve">        </w:t>
      </w:r>
      <w:r w:rsidR="00AB34ED">
        <w:rPr>
          <w:b/>
          <w:sz w:val="28"/>
          <w:szCs w:val="28"/>
        </w:rPr>
        <w:t xml:space="preserve">       п. Филипповский</w:t>
      </w:r>
    </w:p>
    <w:p w:rsidR="00967EF2" w:rsidRDefault="00967EF2" w:rsidP="00B40A80">
      <w:pPr>
        <w:tabs>
          <w:tab w:val="left" w:pos="4480"/>
        </w:tabs>
        <w:rPr>
          <w:b/>
          <w:sz w:val="28"/>
          <w:szCs w:val="28"/>
        </w:rPr>
      </w:pPr>
    </w:p>
    <w:p w:rsidR="00B40A80" w:rsidRDefault="00B40A80" w:rsidP="00967EF2">
      <w:pPr>
        <w:autoSpaceDE w:val="0"/>
        <w:autoSpaceDN w:val="0"/>
        <w:adjustRightInd w:val="0"/>
        <w:ind w:right="3400"/>
        <w:jc w:val="both"/>
        <w:rPr>
          <w:sz w:val="28"/>
          <w:szCs w:val="28"/>
        </w:rPr>
      </w:pPr>
      <w:r>
        <w:rPr>
          <w:iCs/>
          <w:sz w:val="28"/>
          <w:szCs w:val="28"/>
        </w:rPr>
        <w:t xml:space="preserve">Об </w:t>
      </w:r>
      <w:r w:rsidRPr="0074237C">
        <w:rPr>
          <w:sz w:val="28"/>
          <w:szCs w:val="28"/>
        </w:rPr>
        <w:t xml:space="preserve">утверждении Положения о </w:t>
      </w:r>
      <w:r w:rsidR="00084443">
        <w:rPr>
          <w:sz w:val="28"/>
          <w:szCs w:val="28"/>
        </w:rPr>
        <w:t>П</w:t>
      </w:r>
      <w:r w:rsidRPr="0074237C">
        <w:rPr>
          <w:sz w:val="28"/>
          <w:szCs w:val="28"/>
        </w:rPr>
        <w:t>орядке</w:t>
      </w:r>
      <w:r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r w:rsidR="00AB34ED">
        <w:rPr>
          <w:sz w:val="28"/>
          <w:szCs w:val="28"/>
        </w:rPr>
        <w:t>Филипп</w:t>
      </w:r>
      <w:r>
        <w:rPr>
          <w:sz w:val="28"/>
          <w:szCs w:val="28"/>
        </w:rPr>
        <w:t>овский</w:t>
      </w:r>
      <w:r w:rsidRPr="0074237C">
        <w:rPr>
          <w:sz w:val="28"/>
          <w:szCs w:val="28"/>
        </w:rPr>
        <w:t xml:space="preserve"> 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rsidR="00B40A80" w:rsidRDefault="00B40A80" w:rsidP="00B40A80">
      <w:pPr>
        <w:autoSpaceDE w:val="0"/>
        <w:autoSpaceDN w:val="0"/>
        <w:adjustRightInd w:val="0"/>
        <w:jc w:val="both"/>
        <w:rPr>
          <w:sz w:val="28"/>
          <w:szCs w:val="28"/>
        </w:rPr>
      </w:pPr>
    </w:p>
    <w:p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г.</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AB34ED">
        <w:rPr>
          <w:color w:val="C0504D"/>
          <w:sz w:val="28"/>
          <w:szCs w:val="28"/>
        </w:rPr>
        <w:t xml:space="preserve"> </w:t>
      </w:r>
      <w:r w:rsidR="00C61A05" w:rsidRPr="006F7F4F">
        <w:rPr>
          <w:sz w:val="28"/>
          <w:szCs w:val="28"/>
        </w:rPr>
        <w:t>1</w:t>
      </w:r>
      <w:r w:rsidR="00967EF2" w:rsidRPr="006F7F4F">
        <w:rPr>
          <w:sz w:val="28"/>
          <w:szCs w:val="28"/>
        </w:rPr>
        <w:t>1</w:t>
      </w:r>
      <w:r w:rsidR="006F7F4F" w:rsidRPr="006F7F4F">
        <w:rPr>
          <w:sz w:val="28"/>
          <w:szCs w:val="28"/>
        </w:rPr>
        <w:t>.1</w:t>
      </w:r>
      <w:r w:rsidR="00A161B0" w:rsidRPr="00125F80">
        <w:rPr>
          <w:color w:val="FF0000"/>
          <w:sz w:val="28"/>
          <w:szCs w:val="28"/>
        </w:rPr>
        <w:t xml:space="preserve"> </w:t>
      </w:r>
      <w:r w:rsidR="00A161B0" w:rsidRPr="0074237C">
        <w:rPr>
          <w:sz w:val="28"/>
          <w:szCs w:val="28"/>
        </w:rPr>
        <w:t xml:space="preserve">Устава муниципального образования </w:t>
      </w:r>
      <w:r w:rsidR="00AB34ED">
        <w:rPr>
          <w:sz w:val="28"/>
          <w:szCs w:val="28"/>
        </w:rPr>
        <w:t>Филипп</w:t>
      </w:r>
      <w:r w:rsidR="00B40A80">
        <w:rPr>
          <w:sz w:val="28"/>
          <w:szCs w:val="28"/>
        </w:rPr>
        <w:t>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 </w:t>
      </w:r>
    </w:p>
    <w:p w:rsidR="00B40A80" w:rsidRDefault="00B40A80" w:rsidP="0074237C">
      <w:pPr>
        <w:autoSpaceDE w:val="0"/>
        <w:autoSpaceDN w:val="0"/>
        <w:adjustRightInd w:val="0"/>
        <w:ind w:firstLine="567"/>
        <w:jc w:val="both"/>
        <w:rPr>
          <w:sz w:val="28"/>
          <w:szCs w:val="28"/>
        </w:rPr>
      </w:pPr>
    </w:p>
    <w:p w:rsidR="00EF0204" w:rsidRPr="0074237C" w:rsidRDefault="00084443" w:rsidP="00B40A80">
      <w:pPr>
        <w:autoSpaceDE w:val="0"/>
        <w:autoSpaceDN w:val="0"/>
        <w:adjustRightInd w:val="0"/>
        <w:ind w:firstLine="567"/>
        <w:jc w:val="center"/>
        <w:rPr>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p>
    <w:p w:rsidR="00F83AEF" w:rsidRPr="0074237C" w:rsidRDefault="00163B5B" w:rsidP="00863ADE">
      <w:pPr>
        <w:tabs>
          <w:tab w:val="left" w:pos="1560"/>
        </w:tabs>
        <w:ind w:firstLine="567"/>
        <w:rPr>
          <w:iCs/>
          <w:sz w:val="28"/>
          <w:szCs w:val="28"/>
        </w:rPr>
      </w:pPr>
      <w:r w:rsidRPr="0074237C">
        <w:rPr>
          <w:iCs/>
          <w:sz w:val="28"/>
          <w:szCs w:val="28"/>
        </w:rPr>
        <w:tab/>
      </w:r>
    </w:p>
    <w:p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r w:rsidR="00AB34ED">
        <w:rPr>
          <w:sz w:val="28"/>
          <w:szCs w:val="28"/>
        </w:rPr>
        <w:t>Филипп</w:t>
      </w:r>
      <w:r w:rsidR="00B40A80">
        <w:rPr>
          <w:sz w:val="28"/>
          <w:szCs w:val="28"/>
        </w:rPr>
        <w:t>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rsidR="00084443" w:rsidRDefault="00084443" w:rsidP="00084443">
      <w:pPr>
        <w:ind w:firstLine="567"/>
        <w:jc w:val="both"/>
        <w:rPr>
          <w:sz w:val="28"/>
          <w:szCs w:val="28"/>
        </w:rPr>
      </w:pPr>
      <w:r>
        <w:rPr>
          <w:sz w:val="28"/>
          <w:szCs w:val="28"/>
        </w:rPr>
        <w:t xml:space="preserve">2. Обнародовать настоящее решение в соответствии со ст. </w:t>
      </w:r>
      <w:r w:rsidRPr="006F7F4F">
        <w:rPr>
          <w:sz w:val="28"/>
          <w:szCs w:val="28"/>
        </w:rPr>
        <w:t>4</w:t>
      </w:r>
      <w:r w:rsidR="006F7F4F" w:rsidRPr="006F7F4F">
        <w:rPr>
          <w:sz w:val="28"/>
          <w:szCs w:val="28"/>
        </w:rPr>
        <w:t>6</w:t>
      </w:r>
      <w:r w:rsidRPr="006F7F4F">
        <w:rPr>
          <w:sz w:val="28"/>
          <w:szCs w:val="28"/>
        </w:rPr>
        <w:t xml:space="preserve"> </w:t>
      </w:r>
      <w:r>
        <w:rPr>
          <w:sz w:val="28"/>
          <w:szCs w:val="28"/>
        </w:rPr>
        <w:t>Устава   му</w:t>
      </w:r>
      <w:r w:rsidR="00AB34ED">
        <w:rPr>
          <w:sz w:val="28"/>
          <w:szCs w:val="28"/>
        </w:rPr>
        <w:t>ниципального образования Филипп</w:t>
      </w:r>
      <w:r>
        <w:rPr>
          <w:sz w:val="28"/>
          <w:szCs w:val="28"/>
        </w:rPr>
        <w:t>овский сельсовет Каменского района и разместить на официальном сайте Администрации Каменского района.</w:t>
      </w:r>
    </w:p>
    <w:p w:rsidR="00AB34ED" w:rsidRDefault="00AB34ED" w:rsidP="00084443">
      <w:pPr>
        <w:tabs>
          <w:tab w:val="left" w:pos="0"/>
        </w:tabs>
        <w:spacing w:before="80"/>
        <w:jc w:val="both"/>
        <w:rPr>
          <w:sz w:val="28"/>
          <w:szCs w:val="28"/>
        </w:rPr>
      </w:pPr>
    </w:p>
    <w:p w:rsidR="006F7F4F" w:rsidRPr="00445EE8" w:rsidRDefault="006F7F4F" w:rsidP="00084443">
      <w:pPr>
        <w:tabs>
          <w:tab w:val="left" w:pos="0"/>
        </w:tabs>
        <w:spacing w:before="80"/>
        <w:jc w:val="both"/>
        <w:rPr>
          <w:sz w:val="28"/>
          <w:szCs w:val="28"/>
        </w:rPr>
      </w:pPr>
    </w:p>
    <w:tbl>
      <w:tblPr>
        <w:tblW w:w="10138" w:type="dxa"/>
        <w:tblLook w:val="00A0"/>
      </w:tblPr>
      <w:tblGrid>
        <w:gridCol w:w="5211"/>
        <w:gridCol w:w="4927"/>
      </w:tblGrid>
      <w:tr w:rsidR="00084443" w:rsidRPr="00445EE8" w:rsidTr="00DE34A7">
        <w:tc>
          <w:tcPr>
            <w:tcW w:w="5211" w:type="dxa"/>
          </w:tcPr>
          <w:p w:rsidR="00AB34ED" w:rsidRPr="00445EE8" w:rsidRDefault="00084443" w:rsidP="00DE34A7">
            <w:pPr>
              <w:keepNext/>
              <w:jc w:val="both"/>
              <w:rPr>
                <w:sz w:val="28"/>
                <w:szCs w:val="28"/>
              </w:rPr>
            </w:pPr>
            <w:r w:rsidRPr="00445EE8">
              <w:rPr>
                <w:sz w:val="28"/>
                <w:szCs w:val="28"/>
              </w:rPr>
              <w:t>Глава сельсовета</w:t>
            </w:r>
          </w:p>
        </w:tc>
        <w:tc>
          <w:tcPr>
            <w:tcW w:w="4927" w:type="dxa"/>
          </w:tcPr>
          <w:p w:rsidR="00084443" w:rsidRPr="00445EE8" w:rsidRDefault="00084443" w:rsidP="00DE34A7">
            <w:pPr>
              <w:keepNext/>
              <w:jc w:val="both"/>
              <w:rPr>
                <w:sz w:val="28"/>
                <w:szCs w:val="28"/>
              </w:rPr>
            </w:pPr>
            <w:r>
              <w:rPr>
                <w:sz w:val="28"/>
                <w:szCs w:val="28"/>
              </w:rPr>
              <w:t xml:space="preserve">       </w:t>
            </w:r>
            <w:r w:rsidR="00C37A3A">
              <w:rPr>
                <w:sz w:val="28"/>
                <w:szCs w:val="28"/>
              </w:rPr>
              <w:t xml:space="preserve">                А.Н. Белоусов</w:t>
            </w:r>
            <w:r w:rsidRPr="00445EE8">
              <w:rPr>
                <w:sz w:val="28"/>
                <w:szCs w:val="28"/>
              </w:rPr>
              <w:t xml:space="preserve"> </w:t>
            </w:r>
          </w:p>
        </w:tc>
      </w:tr>
      <w:tr w:rsidR="00084443" w:rsidRPr="00445EE8" w:rsidTr="00DE34A7">
        <w:tc>
          <w:tcPr>
            <w:tcW w:w="5211" w:type="dxa"/>
          </w:tcPr>
          <w:p w:rsidR="00084443" w:rsidRPr="00445EE8" w:rsidRDefault="00084443" w:rsidP="00DE34A7">
            <w:pPr>
              <w:keepNext/>
              <w:jc w:val="both"/>
              <w:rPr>
                <w:sz w:val="28"/>
                <w:szCs w:val="28"/>
              </w:rPr>
            </w:pPr>
          </w:p>
        </w:tc>
        <w:tc>
          <w:tcPr>
            <w:tcW w:w="4927" w:type="dxa"/>
          </w:tcPr>
          <w:p w:rsidR="00084443" w:rsidRPr="00445EE8" w:rsidRDefault="00084443" w:rsidP="00DE34A7">
            <w:pPr>
              <w:keepNext/>
              <w:jc w:val="both"/>
              <w:rPr>
                <w:sz w:val="28"/>
                <w:szCs w:val="28"/>
              </w:rPr>
            </w:pPr>
            <w:r>
              <w:rPr>
                <w:sz w:val="28"/>
                <w:szCs w:val="28"/>
              </w:rPr>
              <w:t xml:space="preserve">   </w:t>
            </w:r>
          </w:p>
        </w:tc>
      </w:tr>
    </w:tbl>
    <w:p w:rsidR="00FF1A11" w:rsidRPr="0074237C" w:rsidRDefault="00FF1A11" w:rsidP="00AB34ED">
      <w:pPr>
        <w:pStyle w:val="ConsPlusNormal"/>
        <w:spacing w:before="220"/>
        <w:ind w:firstLine="0"/>
        <w:jc w:val="both"/>
        <w:rPr>
          <w:sz w:val="28"/>
          <w:szCs w:val="28"/>
        </w:rPr>
      </w:pPr>
    </w:p>
    <w:tbl>
      <w:tblPr>
        <w:tblW w:w="10138" w:type="dxa"/>
        <w:tblLook w:val="00A0"/>
      </w:tblPr>
      <w:tblGrid>
        <w:gridCol w:w="5211"/>
        <w:gridCol w:w="4927"/>
      </w:tblGrid>
      <w:tr w:rsidR="00AB34ED" w:rsidRPr="00445EE8" w:rsidTr="00BA1B40">
        <w:tc>
          <w:tcPr>
            <w:tcW w:w="5211" w:type="dxa"/>
          </w:tcPr>
          <w:p w:rsidR="00AB34ED" w:rsidRPr="00445EE8" w:rsidRDefault="00AB34ED" w:rsidP="00BA1B40">
            <w:pPr>
              <w:keepNext/>
              <w:jc w:val="both"/>
              <w:rPr>
                <w:sz w:val="28"/>
                <w:szCs w:val="28"/>
              </w:rPr>
            </w:pPr>
            <w:r>
              <w:rPr>
                <w:sz w:val="28"/>
                <w:szCs w:val="28"/>
              </w:rPr>
              <w:t xml:space="preserve">           </w:t>
            </w:r>
          </w:p>
        </w:tc>
        <w:tc>
          <w:tcPr>
            <w:tcW w:w="4927" w:type="dxa"/>
          </w:tcPr>
          <w:p w:rsidR="00AB34ED" w:rsidRPr="00445EE8" w:rsidRDefault="00AB34ED" w:rsidP="00BA1B40">
            <w:pPr>
              <w:keepNext/>
              <w:jc w:val="both"/>
              <w:rPr>
                <w:sz w:val="28"/>
                <w:szCs w:val="28"/>
              </w:rPr>
            </w:pPr>
          </w:p>
        </w:tc>
      </w:tr>
    </w:tbl>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086F64" w:rsidRDefault="00086F64" w:rsidP="00D2799B">
      <w:pPr>
        <w:pStyle w:val="ConsPlusNormal"/>
        <w:spacing w:before="220"/>
        <w:ind w:firstLine="540"/>
        <w:jc w:val="both"/>
        <w:rPr>
          <w:sz w:val="28"/>
          <w:szCs w:val="28"/>
        </w:rPr>
      </w:pPr>
    </w:p>
    <w:p w:rsidR="00084443" w:rsidRPr="006F3BE4" w:rsidRDefault="00084443" w:rsidP="00084443">
      <w:pPr>
        <w:pStyle w:val="5"/>
        <w:jc w:val="right"/>
        <w:rPr>
          <w:b w:val="0"/>
          <w:i/>
          <w:sz w:val="28"/>
          <w:szCs w:val="28"/>
        </w:rPr>
      </w:pPr>
      <w:r>
        <w:rPr>
          <w:b w:val="0"/>
          <w:sz w:val="28"/>
          <w:szCs w:val="28"/>
        </w:rPr>
        <w:t>У</w:t>
      </w:r>
      <w:r w:rsidRPr="006F3BE4">
        <w:rPr>
          <w:b w:val="0"/>
          <w:sz w:val="28"/>
          <w:szCs w:val="28"/>
        </w:rPr>
        <w:t>ТВЕРЖДЕН</w:t>
      </w:r>
      <w:r>
        <w:rPr>
          <w:b w:val="0"/>
          <w:sz w:val="28"/>
          <w:szCs w:val="28"/>
        </w:rPr>
        <w:t>О</w:t>
      </w:r>
    </w:p>
    <w:p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rsidR="00084443" w:rsidRPr="006F3BE4" w:rsidRDefault="00084443" w:rsidP="00084443">
      <w:pPr>
        <w:ind w:firstLine="567"/>
        <w:jc w:val="right"/>
        <w:rPr>
          <w:sz w:val="28"/>
          <w:szCs w:val="28"/>
        </w:rPr>
      </w:pPr>
      <w:r w:rsidRPr="006F3BE4">
        <w:rPr>
          <w:sz w:val="28"/>
          <w:szCs w:val="28"/>
        </w:rPr>
        <w:t xml:space="preserve">                                                                          депутатов от </w:t>
      </w:r>
      <w:r w:rsidR="006F7F4F">
        <w:rPr>
          <w:sz w:val="28"/>
          <w:szCs w:val="28"/>
        </w:rPr>
        <w:t>00</w:t>
      </w:r>
      <w:r w:rsidRPr="006F3BE4">
        <w:rPr>
          <w:sz w:val="28"/>
          <w:szCs w:val="28"/>
        </w:rPr>
        <w:t>.</w:t>
      </w:r>
      <w:r>
        <w:rPr>
          <w:sz w:val="28"/>
          <w:szCs w:val="28"/>
        </w:rPr>
        <w:t>03</w:t>
      </w:r>
      <w:r w:rsidRPr="006F3BE4">
        <w:rPr>
          <w:sz w:val="28"/>
          <w:szCs w:val="28"/>
        </w:rPr>
        <w:t>.202</w:t>
      </w:r>
      <w:r>
        <w:rPr>
          <w:sz w:val="28"/>
          <w:szCs w:val="28"/>
        </w:rPr>
        <w:t>2</w:t>
      </w:r>
      <w:r w:rsidRPr="006F3BE4">
        <w:rPr>
          <w:sz w:val="28"/>
          <w:szCs w:val="28"/>
        </w:rPr>
        <w:t xml:space="preserve"> № </w:t>
      </w:r>
      <w:r>
        <w:rPr>
          <w:sz w:val="28"/>
          <w:szCs w:val="28"/>
        </w:rPr>
        <w:t>0</w:t>
      </w:r>
      <w:r w:rsidRPr="006F3BE4">
        <w:rPr>
          <w:sz w:val="28"/>
          <w:szCs w:val="28"/>
        </w:rPr>
        <w:t xml:space="preserve"> </w:t>
      </w:r>
    </w:p>
    <w:p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rsidR="00F52A88" w:rsidRPr="0074237C" w:rsidRDefault="00084443" w:rsidP="00677F39">
      <w:pPr>
        <w:widowControl w:val="0"/>
        <w:autoSpaceDE w:val="0"/>
        <w:autoSpaceDN w:val="0"/>
        <w:adjustRightInd w:val="0"/>
        <w:jc w:val="center"/>
        <w:rPr>
          <w:rStyle w:val="af0"/>
          <w:sz w:val="28"/>
          <w:szCs w:val="28"/>
        </w:rPr>
      </w:pPr>
      <w:r w:rsidRPr="0074237C">
        <w:rPr>
          <w:rFonts w:eastAsia="Calibri"/>
          <w:bCs/>
          <w:sz w:val="28"/>
          <w:szCs w:val="28"/>
          <w:lang w:eastAsia="en-US"/>
        </w:rPr>
        <w:t xml:space="preserve"> </w:t>
      </w:r>
      <w:r w:rsidR="00355938" w:rsidRPr="0074237C">
        <w:rPr>
          <w:sz w:val="28"/>
          <w:szCs w:val="28"/>
        </w:rPr>
        <w:t xml:space="preserve">О Порядке </w:t>
      </w:r>
      <w:r w:rsidR="00355938" w:rsidRPr="0074237C">
        <w:rPr>
          <w:rStyle w:val="af0"/>
          <w:b w:val="0"/>
          <w:color w:val="282828"/>
          <w:sz w:val="28"/>
          <w:szCs w:val="28"/>
        </w:rPr>
        <w:t>выдвижения, внесения, обсуждения, рассмотрения инициативных проектов, а также проведения их конкурсного отбора</w:t>
      </w:r>
      <w:r w:rsidR="00355938" w:rsidRPr="0074237C">
        <w:rPr>
          <w:rStyle w:val="af0"/>
          <w:color w:val="282828"/>
          <w:sz w:val="28"/>
          <w:szCs w:val="28"/>
        </w:rPr>
        <w:t xml:space="preserve"> </w:t>
      </w:r>
      <w:r w:rsidR="00355938" w:rsidRPr="0074237C">
        <w:rPr>
          <w:rStyle w:val="af0"/>
          <w:b w:val="0"/>
          <w:color w:val="282828"/>
          <w:sz w:val="28"/>
          <w:szCs w:val="28"/>
        </w:rPr>
        <w:t>в</w:t>
      </w:r>
      <w:r w:rsidR="00355938" w:rsidRPr="0074237C">
        <w:rPr>
          <w:rStyle w:val="af0"/>
          <w:color w:val="282828"/>
          <w:sz w:val="28"/>
          <w:szCs w:val="28"/>
        </w:rPr>
        <w:t xml:space="preserve"> </w:t>
      </w:r>
      <w:r w:rsidR="00355938" w:rsidRPr="0074237C">
        <w:rPr>
          <w:sz w:val="28"/>
          <w:szCs w:val="28"/>
        </w:rPr>
        <w:t xml:space="preserve">муниципальном образовании </w:t>
      </w:r>
      <w:r w:rsidR="00FF1A11" w:rsidRPr="0074237C">
        <w:rPr>
          <w:sz w:val="28"/>
          <w:szCs w:val="28"/>
        </w:rPr>
        <w:t xml:space="preserve"> </w:t>
      </w:r>
      <w:r w:rsidR="00AB34ED">
        <w:rPr>
          <w:sz w:val="28"/>
          <w:szCs w:val="28"/>
        </w:rPr>
        <w:t>Филипп</w:t>
      </w:r>
      <w:r w:rsidR="00125F80">
        <w:rPr>
          <w:sz w:val="28"/>
          <w:szCs w:val="28"/>
        </w:rPr>
        <w:t>овский сельсовет Каменского района</w:t>
      </w:r>
      <w:r w:rsidR="00FF1A11" w:rsidRPr="0074237C">
        <w:rPr>
          <w:sz w:val="28"/>
          <w:szCs w:val="28"/>
        </w:rPr>
        <w:t xml:space="preserve"> Алтайского края</w:t>
      </w:r>
    </w:p>
    <w:p w:rsidR="00355938" w:rsidRPr="0074237C" w:rsidRDefault="00355938" w:rsidP="00677F39">
      <w:pPr>
        <w:widowControl w:val="0"/>
        <w:autoSpaceDE w:val="0"/>
        <w:autoSpaceDN w:val="0"/>
        <w:adjustRightInd w:val="0"/>
        <w:jc w:val="center"/>
        <w:rPr>
          <w:rStyle w:val="af0"/>
          <w:b w:val="0"/>
          <w:sz w:val="28"/>
          <w:szCs w:val="28"/>
        </w:rPr>
      </w:pPr>
    </w:p>
    <w:p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r w:rsidR="00AB34ED">
        <w:rPr>
          <w:sz w:val="28"/>
          <w:szCs w:val="28"/>
        </w:rPr>
        <w:t>Филипп</w:t>
      </w:r>
      <w:r w:rsidR="00125F80">
        <w:rPr>
          <w:sz w:val="28"/>
          <w:szCs w:val="28"/>
        </w:rPr>
        <w:t>овский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r w:rsidR="00AB34ED">
        <w:rPr>
          <w:sz w:val="28"/>
          <w:szCs w:val="28"/>
        </w:rPr>
        <w:t>Филипп</w:t>
      </w:r>
      <w:r w:rsidR="00125F80">
        <w:rPr>
          <w:sz w:val="28"/>
          <w:szCs w:val="28"/>
        </w:rPr>
        <w:t>овский сельсовет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r w:rsidR="00AB34ED">
        <w:rPr>
          <w:sz w:val="28"/>
          <w:szCs w:val="28"/>
        </w:rPr>
        <w:t>Филипп</w:t>
      </w:r>
      <w:r w:rsidR="00125F80">
        <w:rPr>
          <w:sz w:val="28"/>
          <w:szCs w:val="28"/>
        </w:rPr>
        <w:t>овский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r w:rsidR="00BF5171">
        <w:rPr>
          <w:sz w:val="28"/>
          <w:szCs w:val="28"/>
        </w:rPr>
        <w:t>Филипп</w:t>
      </w:r>
      <w:r w:rsidR="00125F80">
        <w:rPr>
          <w:sz w:val="28"/>
          <w:szCs w:val="28"/>
        </w:rPr>
        <w:t>овского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BF5171">
        <w:rPr>
          <w:sz w:val="28"/>
          <w:szCs w:val="28"/>
        </w:rPr>
        <w:t>Филипп</w:t>
      </w:r>
      <w:r w:rsidR="00125F80">
        <w:rPr>
          <w:sz w:val="28"/>
          <w:szCs w:val="28"/>
        </w:rPr>
        <w:t>овского сельсовета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r w:rsidR="00BF5171">
        <w:rPr>
          <w:sz w:val="28"/>
          <w:szCs w:val="28"/>
        </w:rPr>
        <w:t>Филипп</w:t>
      </w:r>
      <w:r w:rsidR="00125F80">
        <w:rPr>
          <w:sz w:val="28"/>
          <w:szCs w:val="28"/>
        </w:rPr>
        <w:t>овск</w:t>
      </w:r>
      <w:r w:rsidR="0036069B">
        <w:rPr>
          <w:sz w:val="28"/>
          <w:szCs w:val="28"/>
        </w:rPr>
        <w:t>ий</w:t>
      </w:r>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r w:rsidR="00BF5171">
        <w:rPr>
          <w:sz w:val="28"/>
          <w:szCs w:val="28"/>
        </w:rPr>
        <w:t>Филипп</w:t>
      </w:r>
      <w:r w:rsidR="00125F80">
        <w:rPr>
          <w:sz w:val="28"/>
          <w:szCs w:val="28"/>
        </w:rPr>
        <w:t>овского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r w:rsidR="00BF5171">
        <w:rPr>
          <w:sz w:val="28"/>
          <w:szCs w:val="28"/>
        </w:rPr>
        <w:t>Филипп</w:t>
      </w:r>
      <w:r w:rsidR="00125F80">
        <w:rPr>
          <w:sz w:val="28"/>
          <w:szCs w:val="28"/>
        </w:rPr>
        <w:t>овский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rsidR="00355938" w:rsidRPr="0074237C" w:rsidRDefault="00BF5171"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Согласительная комиссия;</w:t>
      </w:r>
    </w:p>
    <w:p w:rsidR="00355938" w:rsidRPr="0074237C" w:rsidRDefault="00BF5171"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инициаторы проекта;</w:t>
      </w:r>
    </w:p>
    <w:p w:rsidR="00355938" w:rsidRPr="0074237C" w:rsidRDefault="00BF5171"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уполномоченный орган;</w:t>
      </w:r>
    </w:p>
    <w:p w:rsidR="00355938" w:rsidRPr="0074237C" w:rsidRDefault="00BF5171"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D746BB">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rsidR="002C7ECE" w:rsidRPr="0074237C" w:rsidRDefault="00AB18BB" w:rsidP="00355938">
      <w:pPr>
        <w:pStyle w:val="af1"/>
        <w:spacing w:before="0" w:beforeAutospacing="0" w:after="0" w:afterAutospacing="0"/>
        <w:ind w:firstLine="709"/>
        <w:jc w:val="both"/>
        <w:rPr>
          <w:color w:val="282828"/>
          <w:sz w:val="28"/>
          <w:szCs w:val="28"/>
        </w:rPr>
      </w:pPr>
      <w:r>
        <w:rPr>
          <w:sz w:val="28"/>
          <w:szCs w:val="28"/>
        </w:rPr>
        <w:t xml:space="preserve">- </w:t>
      </w:r>
      <w:r w:rsidR="00D746BB">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rsidR="005E498A" w:rsidRPr="0074237C" w:rsidRDefault="005E498A"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муниципального образо</w:t>
      </w:r>
      <w:r w:rsidR="00AB18BB">
        <w:rPr>
          <w:sz w:val="28"/>
          <w:szCs w:val="28"/>
        </w:rPr>
        <w:t>вания Филипп</w:t>
      </w:r>
      <w:r w:rsidR="00D746BB">
        <w:rPr>
          <w:sz w:val="28"/>
          <w:szCs w:val="28"/>
        </w:rPr>
        <w:t>овский сельсовет Каменского района Алтайского края</w:t>
      </w:r>
      <w:r w:rsidR="00355938" w:rsidRPr="0074237C">
        <w:rPr>
          <w:color w:val="282828"/>
          <w:sz w:val="28"/>
          <w:szCs w:val="28"/>
        </w:rPr>
        <w:t>;</w:t>
      </w:r>
    </w:p>
    <w:p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r w:rsidR="00AB18BB">
        <w:rPr>
          <w:sz w:val="28"/>
          <w:szCs w:val="28"/>
        </w:rPr>
        <w:t>Филипп</w:t>
      </w:r>
      <w:r w:rsidR="00D746BB">
        <w:rPr>
          <w:sz w:val="28"/>
          <w:szCs w:val="28"/>
        </w:rPr>
        <w:t>овский сельсовет Каменского района Алтайского края</w:t>
      </w:r>
      <w:r w:rsidR="00D746BB" w:rsidRPr="0074237C">
        <w:rPr>
          <w:color w:val="282828"/>
          <w:sz w:val="28"/>
          <w:szCs w:val="28"/>
        </w:rPr>
        <w:t>;</w:t>
      </w:r>
    </w:p>
    <w:p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r w:rsidR="00AB18BB">
        <w:rPr>
          <w:sz w:val="28"/>
          <w:szCs w:val="28"/>
        </w:rPr>
        <w:t>Филипп</w:t>
      </w:r>
      <w:r>
        <w:rPr>
          <w:sz w:val="28"/>
          <w:szCs w:val="28"/>
        </w:rPr>
        <w:t>овский сельсовет Каменского района Алтайского края (далее – поселение)</w:t>
      </w:r>
      <w:r w:rsidR="00E548E4" w:rsidRPr="0074237C">
        <w:rPr>
          <w:sz w:val="28"/>
          <w:szCs w:val="28"/>
        </w:rPr>
        <w:t>.</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r w:rsidR="00AB18BB">
        <w:rPr>
          <w:sz w:val="28"/>
          <w:szCs w:val="28"/>
        </w:rPr>
        <w:t>Филипп</w:t>
      </w:r>
      <w:r w:rsidR="00D746BB">
        <w:rPr>
          <w:sz w:val="28"/>
          <w:szCs w:val="28"/>
        </w:rPr>
        <w:t>овского сельсовета Каменского района Алтайского края (далее – Администрация сельсовета)</w:t>
      </w:r>
      <w:r w:rsidR="00D746BB"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r w:rsidR="00AB18BB">
        <w:rPr>
          <w:sz w:val="28"/>
          <w:szCs w:val="28"/>
        </w:rPr>
        <w:t>Филипп</w:t>
      </w:r>
      <w:r w:rsidR="00125F80">
        <w:rPr>
          <w:sz w:val="28"/>
          <w:szCs w:val="28"/>
        </w:rPr>
        <w:t>овский 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r w:rsidR="00153F69" w:rsidRPr="0074237C">
        <w:rPr>
          <w:color w:val="282828"/>
          <w:sz w:val="28"/>
          <w:szCs w:val="28"/>
        </w:rPr>
        <w:t xml:space="preserve">сельсовета </w:t>
      </w:r>
      <w:r w:rsidRPr="0074237C">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w:t>
      </w:r>
      <w:r w:rsidR="006B527A" w:rsidRPr="0074237C">
        <w:rPr>
          <w:color w:val="282828"/>
          <w:sz w:val="28"/>
          <w:szCs w:val="28"/>
        </w:rPr>
        <w:t xml:space="preserve"> 3</w:t>
      </w:r>
      <w:r w:rsidRPr="0074237C">
        <w:rPr>
          <w:color w:val="282828"/>
          <w:sz w:val="28"/>
          <w:szCs w:val="28"/>
        </w:rPr>
        <w:t xml:space="preserve"> к настоящему Порядку.</w:t>
      </w:r>
    </w:p>
    <w:p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 xml:space="preserve">дминистрации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r w:rsidR="00AB18BB">
        <w:rPr>
          <w:color w:val="282828"/>
          <w:sz w:val="28"/>
          <w:szCs w:val="28"/>
        </w:rPr>
        <w:t>Филипп</w:t>
      </w:r>
      <w:r w:rsidR="00D96AF0">
        <w:rPr>
          <w:color w:val="282828"/>
          <w:sz w:val="28"/>
          <w:szCs w:val="28"/>
        </w:rPr>
        <w:t>овский</w:t>
      </w:r>
      <w:r w:rsidR="005779F7" w:rsidRPr="0074237C">
        <w:rPr>
          <w:color w:val="282828"/>
          <w:sz w:val="28"/>
          <w:szCs w:val="28"/>
        </w:rPr>
        <w:t xml:space="preserve"> сельсовет</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(П(ПКОкi)) х (∑(Ркg)),</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ki - множество критериев, входящих группу «Общие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ki может принимать значение 0 или 1;</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кg - множество критериев, входящих группу «Рейтинговые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 xml:space="preserve"> председатель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руководит деятельностью Согласительной комиссии, организует её работу;</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ведёт заседания Согласительной комиссии, подписывает протоколы заседаний;</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осуществляет общий контроль за реализацией принятых Согласительной комиссией решений;</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б</w:t>
      </w:r>
      <w:r w:rsidR="00355938" w:rsidRPr="0074237C">
        <w:rPr>
          <w:color w:val="282828"/>
          <w:sz w:val="28"/>
          <w:szCs w:val="28"/>
        </w:rPr>
        <w:t>) заместитель председателя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исполняет полномочия председателя Согласительной комиссии в отсутствие председателя;</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в</w:t>
      </w:r>
      <w:r w:rsidR="00355938" w:rsidRPr="0074237C">
        <w:rPr>
          <w:color w:val="282828"/>
          <w:sz w:val="28"/>
          <w:szCs w:val="28"/>
        </w:rPr>
        <w:t>) секретарь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формирует проект повестки очередного заседания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обеспечивает подготовку материалов к заседанию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оповещает членов Согласительной комиссии об очередных её заседаниях;</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ведёт и подписывает протоколы заседаний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г</w:t>
      </w:r>
      <w:r w:rsidR="00355938" w:rsidRPr="0074237C">
        <w:rPr>
          <w:color w:val="282828"/>
          <w:sz w:val="28"/>
          <w:szCs w:val="28"/>
        </w:rPr>
        <w:t>) члены Согласительной комиссии:</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осуществляют рассмотрение и оценку представленных инициативных проектов;</w:t>
      </w:r>
    </w:p>
    <w:p w:rsidR="00355938" w:rsidRPr="0074237C" w:rsidRDefault="003B381B" w:rsidP="00355938">
      <w:pPr>
        <w:pStyle w:val="af1"/>
        <w:spacing w:before="0" w:beforeAutospacing="0" w:after="0" w:afterAutospacing="0"/>
        <w:ind w:firstLine="709"/>
        <w:jc w:val="both"/>
        <w:rPr>
          <w:color w:val="282828"/>
          <w:sz w:val="28"/>
          <w:szCs w:val="28"/>
        </w:rPr>
      </w:pPr>
      <w:r>
        <w:rPr>
          <w:color w:val="282828"/>
          <w:sz w:val="28"/>
          <w:szCs w:val="28"/>
        </w:rPr>
        <w:t xml:space="preserve">- </w:t>
      </w:r>
      <w:r w:rsidR="00355938"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софинансирования за счёт средств </w:t>
      </w:r>
      <w:r w:rsidR="007C5AE1" w:rsidRPr="0074237C">
        <w:rPr>
          <w:color w:val="282828"/>
          <w:sz w:val="28"/>
          <w:szCs w:val="28"/>
        </w:rPr>
        <w:t>муниципального бюджета</w:t>
      </w:r>
      <w:r w:rsidR="00355938" w:rsidRPr="0074237C">
        <w:rPr>
          <w:color w:val="282828"/>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rsidR="00A1344C" w:rsidRPr="0074237C" w:rsidRDefault="00A1344C" w:rsidP="00355938">
      <w:pPr>
        <w:pStyle w:val="af1"/>
        <w:spacing w:before="0" w:beforeAutospacing="0" w:after="0" w:afterAutospacing="0"/>
        <w:ind w:firstLine="709"/>
        <w:jc w:val="both"/>
        <w:rPr>
          <w:color w:val="282828"/>
          <w:sz w:val="28"/>
          <w:szCs w:val="28"/>
        </w:rPr>
      </w:pPr>
    </w:p>
    <w:p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r w:rsidR="003B381B">
        <w:rPr>
          <w:sz w:val="28"/>
          <w:szCs w:val="28"/>
        </w:rPr>
        <w:t>Филипп</w:t>
      </w:r>
      <w:r w:rsidR="00125F80">
        <w:rPr>
          <w:sz w:val="28"/>
          <w:szCs w:val="28"/>
        </w:rPr>
        <w:t>овский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r w:rsidR="003B381B">
        <w:rPr>
          <w:sz w:val="28"/>
          <w:szCs w:val="28"/>
        </w:rPr>
        <w:t>Филипп</w:t>
      </w:r>
      <w:r w:rsidR="00125F80">
        <w:rPr>
          <w:sz w:val="28"/>
          <w:szCs w:val="28"/>
        </w:rPr>
        <w:t>овск</w:t>
      </w:r>
      <w:r w:rsidR="00170334">
        <w:rPr>
          <w:sz w:val="28"/>
          <w:szCs w:val="28"/>
        </w:rPr>
        <w:t>ий</w:t>
      </w:r>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rsidR="00554275" w:rsidRPr="0074237C" w:rsidRDefault="00554275" w:rsidP="00554275">
      <w:pPr>
        <w:tabs>
          <w:tab w:val="num" w:pos="0"/>
        </w:tabs>
        <w:suppressAutoHyphens/>
        <w:ind w:firstLine="709"/>
        <w:jc w:val="both"/>
        <w:rPr>
          <w:rFonts w:eastAsia="SimSun"/>
          <w:bCs/>
          <w:sz w:val="28"/>
          <w:szCs w:val="28"/>
          <w:lang w:eastAsia="zh-CN"/>
        </w:rPr>
      </w:pPr>
    </w:p>
    <w:p w:rsidR="00554275" w:rsidRPr="0074237C" w:rsidRDefault="00554275" w:rsidP="0004641F">
      <w:pPr>
        <w:shd w:val="clear" w:color="auto" w:fill="FFFFFF"/>
        <w:tabs>
          <w:tab w:val="left" w:pos="370"/>
          <w:tab w:val="left" w:pos="4820"/>
        </w:tabs>
        <w:ind w:right="2"/>
        <w:jc w:val="both"/>
        <w:rPr>
          <w:kern w:val="2"/>
          <w:sz w:val="28"/>
          <w:szCs w:val="28"/>
        </w:rPr>
      </w:pPr>
    </w:p>
    <w:p w:rsidR="007A508E" w:rsidRPr="0074237C" w:rsidRDefault="007A508E" w:rsidP="0004641F">
      <w:pPr>
        <w:shd w:val="clear" w:color="auto" w:fill="FFFFFF"/>
        <w:tabs>
          <w:tab w:val="left" w:pos="370"/>
          <w:tab w:val="left" w:pos="4820"/>
        </w:tabs>
        <w:ind w:right="2"/>
        <w:jc w:val="both"/>
        <w:rPr>
          <w:kern w:val="2"/>
          <w:sz w:val="28"/>
          <w:szCs w:val="28"/>
        </w:rPr>
      </w:pPr>
    </w:p>
    <w:p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rsidR="00355938" w:rsidRDefault="00355938" w:rsidP="00355938"/>
    <w:tbl>
      <w:tblPr>
        <w:tblW w:w="14615" w:type="dxa"/>
        <w:tblInd w:w="177" w:type="dxa"/>
        <w:tblLook w:val="0000"/>
      </w:tblPr>
      <w:tblGrid>
        <w:gridCol w:w="8750"/>
        <w:gridCol w:w="5865"/>
      </w:tblGrid>
      <w:tr w:rsidR="00355938" w:rsidRPr="00DB23DD" w:rsidTr="00BD5D64">
        <w:trPr>
          <w:trHeight w:val="555"/>
        </w:trPr>
        <w:tc>
          <w:tcPr>
            <w:tcW w:w="8750" w:type="dxa"/>
          </w:tcPr>
          <w:p w:rsidR="00355938" w:rsidRDefault="00355938" w:rsidP="00BD5D64">
            <w:pPr>
              <w:pStyle w:val="af1"/>
              <w:spacing w:before="0" w:beforeAutospacing="0" w:after="0" w:afterAutospacing="0"/>
              <w:ind w:left="-69" w:firstLine="708"/>
              <w:jc w:val="both"/>
              <w:rPr>
                <w:color w:val="282828"/>
                <w:sz w:val="28"/>
                <w:szCs w:val="28"/>
              </w:rPr>
            </w:pPr>
          </w:p>
          <w:p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rsidR="00355938" w:rsidRPr="00276EB4" w:rsidRDefault="00355938" w:rsidP="00BD5D64">
            <w:pPr>
              <w:jc w:val="center"/>
              <w:rPr>
                <w:color w:val="282828"/>
                <w:sz w:val="24"/>
                <w:szCs w:val="24"/>
              </w:rPr>
            </w:pPr>
            <w:r w:rsidRPr="00276EB4">
              <w:rPr>
                <w:color w:val="282828"/>
                <w:sz w:val="24"/>
                <w:szCs w:val="24"/>
              </w:rPr>
              <w:t>Приложение №1</w:t>
            </w:r>
          </w:p>
          <w:p w:rsidR="00355938" w:rsidRDefault="00355938" w:rsidP="007C5AE1">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r w:rsidR="003B381B">
              <w:t>Филипп</w:t>
            </w:r>
            <w:r w:rsidR="00125F80">
              <w:t>овский сельсовет Каменского района</w:t>
            </w:r>
            <w:r w:rsidR="007C5AE1">
              <w:t xml:space="preserve"> </w:t>
            </w:r>
            <w:r w:rsidR="00DE6132">
              <w:t>Алтайского</w:t>
            </w:r>
            <w:r w:rsidR="007C5AE1">
              <w:t xml:space="preserve"> края</w:t>
            </w:r>
          </w:p>
        </w:tc>
      </w:tr>
    </w:tbl>
    <w:p w:rsidR="00355938" w:rsidRPr="00FB4DAC" w:rsidRDefault="00355938" w:rsidP="00355938">
      <w:pPr>
        <w:jc w:val="both"/>
        <w:rPr>
          <w:rFonts w:eastAsia="Calibri"/>
          <w:iCs/>
          <w:color w:val="000000"/>
          <w:sz w:val="28"/>
          <w:szCs w:val="28"/>
          <w:lang w:eastAsia="en-US"/>
        </w:rPr>
      </w:pPr>
    </w:p>
    <w:p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неденежного вклада,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граждан (добровольное имущественное участие, трудовое участие)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bl>
    <w:p w:rsidR="00355938" w:rsidRPr="00FB4DAC" w:rsidRDefault="00355938" w:rsidP="00355938">
      <w:pPr>
        <w:jc w:val="both"/>
        <w:rPr>
          <w:rFonts w:eastAsia="Calibri"/>
          <w:color w:val="000000"/>
          <w:sz w:val="28"/>
          <w:szCs w:val="28"/>
          <w:lang w:eastAsia="en-US"/>
        </w:rPr>
      </w:pP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 xml:space="preserve">Инициатор(ы) проекта </w:t>
      </w: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355938" w:rsidRPr="00DE6132" w:rsidTr="00BD5D64">
        <w:trPr>
          <w:trHeight w:val="360"/>
        </w:trPr>
        <w:tc>
          <w:tcPr>
            <w:tcW w:w="4092" w:type="dxa"/>
          </w:tcPr>
          <w:p w:rsidR="00355938" w:rsidRPr="00DE6132" w:rsidRDefault="00355938" w:rsidP="00BD5D64">
            <w:pPr>
              <w:shd w:val="clear" w:color="auto" w:fill="FFFFFF"/>
              <w:ind w:left="-19"/>
              <w:jc w:val="both"/>
              <w:rPr>
                <w:color w:val="000000"/>
                <w:sz w:val="24"/>
                <w:szCs w:val="24"/>
              </w:rPr>
            </w:pPr>
          </w:p>
        </w:tc>
        <w:tc>
          <w:tcPr>
            <w:tcW w:w="5387" w:type="dxa"/>
          </w:tcPr>
          <w:p w:rsidR="00355938" w:rsidRPr="00DE6132" w:rsidRDefault="00355938" w:rsidP="00BD5D64">
            <w:pPr>
              <w:jc w:val="center"/>
              <w:rPr>
                <w:color w:val="282828"/>
                <w:sz w:val="24"/>
                <w:szCs w:val="24"/>
              </w:rPr>
            </w:pPr>
            <w:r w:rsidRPr="00DE6132">
              <w:rPr>
                <w:color w:val="282828"/>
                <w:sz w:val="24"/>
                <w:szCs w:val="24"/>
              </w:rPr>
              <w:t>Приложение №2</w:t>
            </w:r>
          </w:p>
          <w:p w:rsidR="00355938" w:rsidRPr="00DE6132" w:rsidRDefault="00E60B91" w:rsidP="00BD5D64">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r w:rsidR="003B381B">
              <w:rPr>
                <w:sz w:val="24"/>
                <w:szCs w:val="24"/>
              </w:rPr>
              <w:t>Филипп</w:t>
            </w:r>
            <w:r w:rsidR="00125F80">
              <w:rPr>
                <w:sz w:val="24"/>
                <w:szCs w:val="24"/>
              </w:rPr>
              <w:t>овский сельсовет Каменского района</w:t>
            </w:r>
            <w:r w:rsidR="00DE6132" w:rsidRPr="00DE6132">
              <w:rPr>
                <w:sz w:val="24"/>
                <w:szCs w:val="24"/>
              </w:rPr>
              <w:t xml:space="preserve"> Алтайского края</w:t>
            </w:r>
          </w:p>
        </w:tc>
      </w:tr>
    </w:tbl>
    <w:p w:rsidR="00355938" w:rsidRPr="00DE6132" w:rsidRDefault="00355938" w:rsidP="00355938">
      <w:pPr>
        <w:shd w:val="clear" w:color="auto" w:fill="FFFFFF"/>
        <w:jc w:val="both"/>
        <w:rPr>
          <w:color w:val="000000"/>
          <w:sz w:val="24"/>
          <w:szCs w:val="24"/>
        </w:rPr>
      </w:pPr>
    </w:p>
    <w:p w:rsidR="00355938" w:rsidRPr="00C80CCF" w:rsidRDefault="00355938" w:rsidP="00355938">
      <w:pPr>
        <w:shd w:val="clear" w:color="auto" w:fill="FFFFFF"/>
        <w:jc w:val="right"/>
        <w:rPr>
          <w:color w:val="000000"/>
        </w:rPr>
      </w:pPr>
    </w:p>
    <w:p w:rsidR="00355938" w:rsidRPr="00C80CCF" w:rsidRDefault="00355938" w:rsidP="00355938">
      <w:pPr>
        <w:shd w:val="clear" w:color="auto" w:fill="FFFFFF"/>
        <w:jc w:val="right"/>
        <w:rPr>
          <w:color w:val="000000"/>
        </w:rPr>
      </w:pPr>
      <w:r>
        <w:rPr>
          <w:color w:val="000000"/>
        </w:rPr>
        <w:t xml:space="preserve"> </w:t>
      </w:r>
    </w:p>
    <w:p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tblPr>
      <w:tblGrid>
        <w:gridCol w:w="933"/>
        <w:gridCol w:w="2784"/>
        <w:gridCol w:w="129"/>
        <w:gridCol w:w="4484"/>
        <w:gridCol w:w="142"/>
        <w:gridCol w:w="1134"/>
      </w:tblGrid>
      <w:tr w:rsidR="00355938" w:rsidRPr="00A429D5"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крите-рия</w:t>
            </w:r>
          </w:p>
        </w:tc>
        <w:tc>
          <w:tcPr>
            <w:tcW w:w="3850" w:type="pct"/>
            <w:gridSpan w:val="3"/>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rsidTr="00BD5D64">
        <w:trPr>
          <w:trHeight w:val="135"/>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(ПКОк)</w:t>
            </w:r>
          </w:p>
          <w:p w:rsidR="00355938" w:rsidRPr="00A429D5" w:rsidRDefault="00355938" w:rsidP="00BD5D64">
            <w:pPr>
              <w:rPr>
                <w:rFonts w:eastAsia="Calibri"/>
                <w:bCs/>
                <w:color w:val="000000"/>
                <w:sz w:val="24"/>
                <w:szCs w:val="24"/>
                <w:lang w:eastAsia="en-US"/>
              </w:rPr>
            </w:pPr>
          </w:p>
        </w:tc>
      </w:tr>
      <w:tr w:rsidR="00355938" w:rsidRPr="00A429D5"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2002"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(Рк)</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11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9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rsidTr="00BD5D64">
        <w:trPr>
          <w:trHeight w:val="13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инновационность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rsidTr="00BD5D64">
        <w:trPr>
          <w:trHeight w:val="20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46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7"/>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Уровень софинансирования инициативного проекта гражданами</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софинансирования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rsidTr="00BD5D64">
        <w:trPr>
          <w:trHeight w:val="69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44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tblPr>
      <w:tblGrid>
        <w:gridCol w:w="4092"/>
        <w:gridCol w:w="5387"/>
      </w:tblGrid>
      <w:tr w:rsidR="00355938" w:rsidRPr="00DB23DD" w:rsidTr="00BD5D64">
        <w:trPr>
          <w:trHeight w:val="360"/>
        </w:trPr>
        <w:tc>
          <w:tcPr>
            <w:tcW w:w="4092" w:type="dxa"/>
          </w:tcPr>
          <w:p w:rsidR="00355938" w:rsidRPr="00DB23DD" w:rsidRDefault="00355938" w:rsidP="00BD5D64">
            <w:pPr>
              <w:shd w:val="clear" w:color="auto" w:fill="FFFFFF"/>
              <w:ind w:left="-19"/>
              <w:jc w:val="both"/>
              <w:rPr>
                <w:color w:val="000000"/>
              </w:rPr>
            </w:pPr>
          </w:p>
        </w:tc>
        <w:tc>
          <w:tcPr>
            <w:tcW w:w="5387" w:type="dxa"/>
          </w:tcPr>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Pr="00E60B91" w:rsidRDefault="00A429D5" w:rsidP="00A429D5">
            <w:pPr>
              <w:jc w:val="center"/>
              <w:rPr>
                <w:color w:val="282828"/>
                <w:sz w:val="24"/>
                <w:szCs w:val="24"/>
              </w:rPr>
            </w:pPr>
            <w:r w:rsidRPr="00E60B91">
              <w:rPr>
                <w:color w:val="282828"/>
                <w:sz w:val="24"/>
                <w:szCs w:val="24"/>
              </w:rPr>
              <w:t>Приложение №</w:t>
            </w:r>
            <w:r>
              <w:rPr>
                <w:color w:val="282828"/>
                <w:sz w:val="24"/>
                <w:szCs w:val="24"/>
              </w:rPr>
              <w:t>3</w:t>
            </w:r>
          </w:p>
          <w:p w:rsidR="00355938" w:rsidRPr="00DB23DD" w:rsidRDefault="00A429D5" w:rsidP="00DE6132">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r w:rsidR="00C37A3A">
              <w:rPr>
                <w:sz w:val="24"/>
              </w:rPr>
              <w:t>Филипп</w:t>
            </w:r>
            <w:r w:rsidR="00125F80">
              <w:rPr>
                <w:sz w:val="24"/>
              </w:rPr>
              <w:t>овский сельсовет Каменского района</w:t>
            </w:r>
            <w:r w:rsidR="00DE6132" w:rsidRPr="00DE6132">
              <w:rPr>
                <w:sz w:val="24"/>
              </w:rPr>
              <w:t xml:space="preserve"> Алтайского края</w:t>
            </w:r>
          </w:p>
        </w:tc>
      </w:tr>
    </w:tbl>
    <w:p w:rsidR="00355938" w:rsidRPr="00C80CCF" w:rsidRDefault="00355938" w:rsidP="00355938">
      <w:pPr>
        <w:shd w:val="clear" w:color="auto" w:fill="FFFFFF"/>
        <w:jc w:val="both"/>
        <w:rPr>
          <w:color w:val="000000"/>
        </w:rPr>
      </w:pPr>
    </w:p>
    <w:p w:rsidR="00355938" w:rsidRDefault="00355938" w:rsidP="00355938">
      <w:pPr>
        <w:jc w:val="right"/>
        <w:rPr>
          <w:rFonts w:eastAsia="Calibri"/>
          <w:i/>
          <w:color w:val="000000"/>
          <w:sz w:val="28"/>
          <w:szCs w:val="28"/>
          <w:lang w:eastAsia="en-US"/>
        </w:rPr>
      </w:pPr>
    </w:p>
    <w:p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rsidR="00355938" w:rsidRPr="00975586" w:rsidRDefault="00355938" w:rsidP="00355938">
      <w:pPr>
        <w:jc w:val="center"/>
        <w:rPr>
          <w:rFonts w:eastAsia="Calibri"/>
          <w:color w:val="000000"/>
          <w:sz w:val="28"/>
          <w:szCs w:val="28"/>
          <w:lang w:eastAsia="en-US"/>
        </w:rPr>
      </w:pPr>
    </w:p>
    <w:p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rsidR="00355938" w:rsidRPr="00975586" w:rsidRDefault="00355938" w:rsidP="00355938">
      <w:pPr>
        <w:widowControl w:val="0"/>
        <w:autoSpaceDE w:val="0"/>
        <w:autoSpaceDN w:val="0"/>
        <w:jc w:val="both"/>
        <w:rPr>
          <w:color w:val="000000"/>
        </w:rPr>
      </w:pPr>
      <w:r w:rsidRPr="00975586">
        <w:rPr>
          <w:color w:val="000000"/>
        </w:rPr>
        <w:t>зарегистрированный(ая) по адресу: ____________________________</w:t>
      </w:r>
      <w:r>
        <w:rPr>
          <w:color w:val="000000"/>
        </w:rPr>
        <w:t>__________</w:t>
      </w:r>
      <w:r w:rsidRPr="00975586">
        <w:rPr>
          <w:color w:val="000000"/>
        </w:rPr>
        <w:t>________</w:t>
      </w:r>
      <w:r>
        <w:rPr>
          <w:color w:val="000000"/>
        </w:rPr>
        <w:t>_</w:t>
      </w:r>
      <w:r w:rsidRPr="00975586">
        <w:rPr>
          <w:color w:val="000000"/>
        </w:rPr>
        <w:t>_______</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r w:rsidR="00170334">
        <w:rPr>
          <w:color w:val="000000"/>
        </w:rPr>
        <w:t>А</w:t>
      </w:r>
      <w:r w:rsidRPr="00975586">
        <w:rPr>
          <w:color w:val="000000"/>
        </w:rPr>
        <w:t xml:space="preserve">дминистрации </w:t>
      </w:r>
      <w:r w:rsidR="00C37A3A">
        <w:rPr>
          <w:color w:val="000000"/>
        </w:rPr>
        <w:t>Филипп</w:t>
      </w:r>
      <w:r w:rsidR="00125F80">
        <w:rPr>
          <w:color w:val="000000"/>
        </w:rPr>
        <w:t>овского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C37A3A">
        <w:rPr>
          <w:color w:val="000000"/>
        </w:rPr>
        <w:t>733</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C37A3A">
        <w:rPr>
          <w:color w:val="000000"/>
        </w:rPr>
        <w:t>п. Филипповский</w:t>
      </w:r>
      <w:r w:rsidR="00DE6132">
        <w:rPr>
          <w:color w:val="000000"/>
        </w:rPr>
        <w:t xml:space="preserve">, ул. </w:t>
      </w:r>
      <w:r w:rsidR="00C37A3A">
        <w:rPr>
          <w:color w:val="000000"/>
        </w:rPr>
        <w:t>Сибирская</w:t>
      </w:r>
      <w:r w:rsidR="00DE6132">
        <w:rPr>
          <w:color w:val="000000"/>
        </w:rPr>
        <w:t>,</w:t>
      </w:r>
      <w:r w:rsidR="00C37A3A">
        <w:rPr>
          <w:color w:val="000000"/>
        </w:rPr>
        <w:t xml:space="preserve"> 4/Б</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
    <w:p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rsidR="00355938" w:rsidRPr="00975586" w:rsidRDefault="00355938" w:rsidP="00355938">
      <w:pPr>
        <w:ind w:firstLine="708"/>
        <w:rPr>
          <w:color w:val="000000"/>
        </w:rPr>
      </w:pPr>
      <w:r w:rsidRPr="00975586">
        <w:rPr>
          <w:color w:val="000000"/>
        </w:rPr>
        <w:t xml:space="preserve"> </w:t>
      </w:r>
    </w:p>
    <w:p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rsidR="00F52A88" w:rsidRPr="00F52A88" w:rsidRDefault="00F52A88" w:rsidP="00677F39">
      <w:pPr>
        <w:rPr>
          <w:sz w:val="24"/>
          <w:szCs w:val="24"/>
        </w:rPr>
      </w:pPr>
    </w:p>
    <w:p w:rsidR="007A0576" w:rsidRPr="00F52A88" w:rsidRDefault="007A0576" w:rsidP="00863ADE">
      <w:pPr>
        <w:pStyle w:val="a5"/>
        <w:ind w:firstLine="567"/>
        <w:jc w:val="both"/>
        <w:rPr>
          <w:sz w:val="24"/>
          <w:szCs w:val="24"/>
        </w:rPr>
      </w:pPr>
    </w:p>
    <w:p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9C" w:rsidRDefault="0073379C">
      <w:r>
        <w:separator/>
      </w:r>
    </w:p>
  </w:endnote>
  <w:endnote w:type="continuationSeparator" w:id="0">
    <w:p w:rsidR="0073379C" w:rsidRDefault="00733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9C" w:rsidRDefault="0073379C">
      <w:r>
        <w:separator/>
      </w:r>
    </w:p>
  </w:footnote>
  <w:footnote w:type="continuationSeparator" w:id="0">
    <w:p w:rsidR="0073379C" w:rsidRDefault="00733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CE" w:rsidRDefault="002C7ECE">
    <w:pPr>
      <w:pStyle w:val="a7"/>
      <w:jc w:val="center"/>
    </w:pPr>
    <w:fldSimple w:instr="PAGE   \* MERGEFORMAT">
      <w:r w:rsidR="00501486">
        <w:rPr>
          <w:noProof/>
        </w:rPr>
        <w:t>2</w:t>
      </w:r>
    </w:fldSimple>
  </w:p>
  <w:p w:rsidR="00111616" w:rsidRDefault="001116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EC" w:rsidRDefault="00370AEC" w:rsidP="00370AEC">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1CB5" w:rsidRDefault="00DC1CB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7F4F">
      <w:rPr>
        <w:rStyle w:val="aa"/>
        <w:noProof/>
      </w:rPr>
      <w:t>17</w:t>
    </w:r>
    <w:r>
      <w:rPr>
        <w:rStyle w:val="aa"/>
      </w:rPr>
      <w:fldChar w:fldCharType="end"/>
    </w:r>
  </w:p>
  <w:p w:rsidR="00DC1CB5" w:rsidRDefault="00DC1CB5">
    <w:pPr>
      <w:pStyle w:val="a7"/>
      <w:rPr>
        <w:lang w:val="en-US"/>
      </w:rPr>
    </w:pPr>
    <w:r>
      <w:rPr>
        <w:lang w:val="en-U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B5" w:rsidRDefault="00501486" w:rsidP="001E243D">
    <w:pPr>
      <w:pStyle w:val="a7"/>
      <w:ind w:right="-1"/>
      <w:jc w:val="center"/>
    </w:pPr>
    <w:r>
      <w:rPr>
        <w:noProof/>
      </w:rPr>
      <w:drawing>
        <wp:inline distT="0" distB="0" distL="0" distR="0">
          <wp:extent cx="428625" cy="716915"/>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169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381B"/>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46E"/>
    <w:rsid w:val="00501486"/>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6F7F4F"/>
    <w:rsid w:val="0070011C"/>
    <w:rsid w:val="00700E30"/>
    <w:rsid w:val="00702F10"/>
    <w:rsid w:val="007036C4"/>
    <w:rsid w:val="007045CF"/>
    <w:rsid w:val="00707971"/>
    <w:rsid w:val="0071557C"/>
    <w:rsid w:val="00720BEC"/>
    <w:rsid w:val="0073379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67EF2"/>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18BB"/>
    <w:rsid w:val="00AB34ED"/>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1B40"/>
    <w:rsid w:val="00BA548D"/>
    <w:rsid w:val="00BA72B4"/>
    <w:rsid w:val="00BB0EBA"/>
    <w:rsid w:val="00BB3C00"/>
    <w:rsid w:val="00BB70E7"/>
    <w:rsid w:val="00BB71FF"/>
    <w:rsid w:val="00BC2EE3"/>
    <w:rsid w:val="00BD594D"/>
    <w:rsid w:val="00BD5D64"/>
    <w:rsid w:val="00BE1AA5"/>
    <w:rsid w:val="00BE29D0"/>
    <w:rsid w:val="00BF5171"/>
    <w:rsid w:val="00BF6667"/>
    <w:rsid w:val="00BF70EE"/>
    <w:rsid w:val="00C0255E"/>
    <w:rsid w:val="00C04A70"/>
    <w:rsid w:val="00C12118"/>
    <w:rsid w:val="00C14441"/>
    <w:rsid w:val="00C172ED"/>
    <w:rsid w:val="00C20E88"/>
    <w:rsid w:val="00C23E61"/>
    <w:rsid w:val="00C252E6"/>
    <w:rsid w:val="00C27652"/>
    <w:rsid w:val="00C31850"/>
    <w:rsid w:val="00C334A6"/>
    <w:rsid w:val="00C37A3A"/>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235A4"/>
    <w:rsid w:val="00E2524B"/>
    <w:rsid w:val="00E300F3"/>
    <w:rsid w:val="00E352AA"/>
    <w:rsid w:val="00E3559F"/>
    <w:rsid w:val="00E37D34"/>
    <w:rsid w:val="00E404E8"/>
    <w:rsid w:val="00E40F4F"/>
    <w:rsid w:val="00E4183E"/>
    <w:rsid w:val="00E42240"/>
    <w:rsid w:val="00E42C3F"/>
    <w:rsid w:val="00E437BF"/>
    <w:rsid w:val="00E4473F"/>
    <w:rsid w:val="00E46D38"/>
    <w:rsid w:val="00E50334"/>
    <w:rsid w:val="00E503E6"/>
    <w:rsid w:val="00E51527"/>
    <w:rsid w:val="00E51EEE"/>
    <w:rsid w:val="00E529C3"/>
    <w:rsid w:val="00E53D72"/>
    <w:rsid w:val="00E548E4"/>
    <w:rsid w:val="00E60B91"/>
    <w:rsid w:val="00E619BA"/>
    <w:rsid w:val="00E70969"/>
    <w:rsid w:val="00E74022"/>
    <w:rsid w:val="00E74567"/>
    <w:rsid w:val="00E74A3F"/>
    <w:rsid w:val="00E75E70"/>
    <w:rsid w:val="00E76603"/>
    <w:rsid w:val="00E77213"/>
    <w:rsid w:val="00E80FA8"/>
    <w:rsid w:val="00E81974"/>
    <w:rsid w:val="00E82C67"/>
    <w:rsid w:val="00E872E6"/>
    <w:rsid w:val="00E91D0A"/>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 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r="http://schemas.openxmlformats.org/officeDocument/2006/relationships" xmlns:w="http://schemas.openxmlformats.org/wordprocessingml/2006/main">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B1B1-7457-4D25-AFA6-31B74752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фин.ком.dot</Template>
  <TotalTime>1</TotalTime>
  <Pages>3</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по взаимодействию с ОМСУ</dc:creator>
  <cp:lastModifiedBy>Uz</cp:lastModifiedBy>
  <cp:revision>2</cp:revision>
  <cp:lastPrinted>2021-04-09T02:13:00Z</cp:lastPrinted>
  <dcterms:created xsi:type="dcterms:W3CDTF">2022-03-04T02:35:00Z</dcterms:created>
  <dcterms:modified xsi:type="dcterms:W3CDTF">2022-03-04T02:35:00Z</dcterms:modified>
</cp:coreProperties>
</file>